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AA04" w14:textId="3067D239" w:rsidR="005C249B" w:rsidRPr="0058366E" w:rsidRDefault="005C249B" w:rsidP="005C249B">
      <w:pPr>
        <w:pStyle w:val="Titre1"/>
        <w:spacing w:before="0" w:after="120" w:line="240" w:lineRule="auto"/>
        <w:jc w:val="both"/>
        <w:rPr>
          <w:rFonts w:asciiTheme="minorHAnsi" w:hAnsiTheme="minorHAnsi" w:cstheme="minorHAnsi"/>
          <w:bCs/>
          <w:sz w:val="24"/>
          <w:szCs w:val="24"/>
          <w:lang w:val="en-US"/>
        </w:rPr>
      </w:pPr>
      <w:bookmarkStart w:id="0" w:name="_Toc213427573"/>
      <w:r w:rsidRPr="0058366E">
        <w:rPr>
          <w:rFonts w:asciiTheme="minorHAnsi" w:hAnsiTheme="minorHAnsi" w:cstheme="minorHAnsi"/>
          <w:bCs/>
          <w:sz w:val="24"/>
          <w:szCs w:val="24"/>
          <w:lang w:val="en-US"/>
        </w:rPr>
        <w:t>Federal Budget 2025</w:t>
      </w:r>
      <w:r w:rsidR="0058366E">
        <w:rPr>
          <w:rFonts w:asciiTheme="minorHAnsi" w:hAnsiTheme="minorHAnsi" w:cstheme="minorHAnsi"/>
          <w:bCs/>
          <w:sz w:val="24"/>
          <w:szCs w:val="24"/>
          <w:lang w:val="en-US"/>
        </w:rPr>
        <w:t>- A roadmap to sustainable economic growth</w:t>
      </w:r>
      <w:bookmarkEnd w:id="0"/>
    </w:p>
    <w:p w14:paraId="30CB5029" w14:textId="77777777" w:rsidR="00CE6B3E" w:rsidRPr="0058366E" w:rsidRDefault="00CE6B3E" w:rsidP="005C249B">
      <w:pPr>
        <w:autoSpaceDE w:val="0"/>
        <w:autoSpaceDN w:val="0"/>
        <w:adjustRightInd w:val="0"/>
        <w:spacing w:after="120" w:line="240" w:lineRule="auto"/>
        <w:jc w:val="both"/>
        <w:rPr>
          <w:rFonts w:cstheme="minorHAnsi"/>
          <w:lang w:val="en-US"/>
        </w:rPr>
      </w:pPr>
    </w:p>
    <w:p w14:paraId="6B33213F" w14:textId="7D33CFD1" w:rsidR="005C249B" w:rsidRPr="002132D9" w:rsidRDefault="005C249B" w:rsidP="005C249B">
      <w:pPr>
        <w:autoSpaceDE w:val="0"/>
        <w:autoSpaceDN w:val="0"/>
        <w:adjustRightInd w:val="0"/>
        <w:spacing w:after="120" w:line="240" w:lineRule="auto"/>
        <w:jc w:val="both"/>
        <w:rPr>
          <w:rFonts w:cstheme="minorHAnsi"/>
          <w:lang w:val="en-US"/>
        </w:rPr>
      </w:pPr>
      <w:r w:rsidRPr="0058366E">
        <w:rPr>
          <w:rFonts w:cstheme="minorHAnsi"/>
          <w:lang w:val="en-US"/>
        </w:rPr>
        <w:t>On</w:t>
      </w:r>
      <w:r w:rsidR="00CE6B3E" w:rsidRPr="0058366E">
        <w:rPr>
          <w:rFonts w:cstheme="minorHAnsi"/>
          <w:lang w:val="en-US"/>
        </w:rPr>
        <w:t xml:space="preserve"> November 4th</w:t>
      </w:r>
      <w:r w:rsidRPr="0058366E">
        <w:rPr>
          <w:rFonts w:cstheme="minorHAnsi"/>
          <w:lang w:val="en-US"/>
        </w:rPr>
        <w:t>, 2025, the</w:t>
      </w:r>
      <w:r w:rsidR="009666DE">
        <w:rPr>
          <w:rFonts w:cstheme="minorHAnsi"/>
          <w:lang w:val="en-US"/>
        </w:rPr>
        <w:t xml:space="preserve"> </w:t>
      </w:r>
      <w:r w:rsidR="00B661ED">
        <w:rPr>
          <w:rFonts w:cstheme="minorHAnsi"/>
          <w:lang w:val="en-US"/>
        </w:rPr>
        <w:t>Honorable</w:t>
      </w:r>
      <w:r w:rsidR="009666DE">
        <w:rPr>
          <w:rFonts w:cstheme="minorHAnsi"/>
          <w:lang w:val="en-US"/>
        </w:rPr>
        <w:t xml:space="preserve"> François-Philippe Champagne, </w:t>
      </w:r>
      <w:r w:rsidR="0058366E" w:rsidRPr="0058366E">
        <w:rPr>
          <w:rFonts w:cstheme="minorHAnsi"/>
          <w:lang w:val="en-US"/>
        </w:rPr>
        <w:t>Minister</w:t>
      </w:r>
      <w:r w:rsidRPr="0058366E">
        <w:rPr>
          <w:rFonts w:cstheme="minorHAnsi"/>
          <w:lang w:val="en-US"/>
        </w:rPr>
        <w:t xml:space="preserve"> of Finance</w:t>
      </w:r>
      <w:r w:rsidR="009666DE">
        <w:rPr>
          <w:rFonts w:cstheme="minorHAnsi"/>
          <w:lang w:val="en-US"/>
        </w:rPr>
        <w:t xml:space="preserve"> and National Revenue,</w:t>
      </w:r>
      <w:r w:rsidRPr="0058366E">
        <w:rPr>
          <w:rFonts w:cstheme="minorHAnsi"/>
          <w:lang w:val="en-US"/>
        </w:rPr>
        <w:t xml:space="preserve"> </w:t>
      </w:r>
      <w:r w:rsidR="002132D9">
        <w:rPr>
          <w:rFonts w:cstheme="minorHAnsi"/>
          <w:lang w:val="en-US"/>
        </w:rPr>
        <w:t>tabl</w:t>
      </w:r>
      <w:r w:rsidR="0058366E" w:rsidRPr="0058366E">
        <w:rPr>
          <w:rFonts w:cstheme="minorHAnsi"/>
          <w:lang w:val="en-US"/>
        </w:rPr>
        <w:t xml:space="preserve">ed </w:t>
      </w:r>
      <w:r w:rsidR="00B661ED">
        <w:rPr>
          <w:rFonts w:cstheme="minorHAnsi"/>
          <w:lang w:val="en-US"/>
        </w:rPr>
        <w:t xml:space="preserve">the </w:t>
      </w:r>
      <w:r w:rsidR="0058366E" w:rsidRPr="0058366E">
        <w:rPr>
          <w:rFonts w:cstheme="minorHAnsi"/>
          <w:lang w:val="en-US"/>
        </w:rPr>
        <w:t>2025 Federal Budget which</w:t>
      </w:r>
      <w:r w:rsidR="00B661ED">
        <w:rPr>
          <w:rFonts w:cstheme="minorHAnsi"/>
          <w:lang w:val="en-US"/>
        </w:rPr>
        <w:t>,</w:t>
      </w:r>
      <w:r w:rsidR="0058366E" w:rsidRPr="0058366E">
        <w:rPr>
          <w:rFonts w:cstheme="minorHAnsi"/>
          <w:lang w:val="en-US"/>
        </w:rPr>
        <w:t xml:space="preserve"> he had claimed for weeks</w:t>
      </w:r>
      <w:r w:rsidR="00B661ED">
        <w:rPr>
          <w:rFonts w:cstheme="minorHAnsi"/>
          <w:lang w:val="en-US"/>
        </w:rPr>
        <w:t>,</w:t>
      </w:r>
      <w:r w:rsidR="0058366E" w:rsidRPr="0058366E">
        <w:rPr>
          <w:rFonts w:cstheme="minorHAnsi"/>
          <w:lang w:val="en-US"/>
        </w:rPr>
        <w:t xml:space="preserve"> would be a landmark budget presented once in a generation. Such bold statement had set high expectations</w:t>
      </w:r>
      <w:r w:rsidR="00B661ED">
        <w:rPr>
          <w:rFonts w:cstheme="minorHAnsi"/>
          <w:lang w:val="en-US"/>
        </w:rPr>
        <w:t xml:space="preserve"> among the business community</w:t>
      </w:r>
      <w:r w:rsidR="0058366E" w:rsidRPr="0058366E">
        <w:rPr>
          <w:rFonts w:cstheme="minorHAnsi"/>
          <w:lang w:val="en-US"/>
        </w:rPr>
        <w:t xml:space="preserve">. </w:t>
      </w:r>
      <w:r w:rsidR="002132D9">
        <w:rPr>
          <w:rFonts w:cstheme="minorHAnsi"/>
          <w:lang w:val="en-US"/>
        </w:rPr>
        <w:t>However, as o</w:t>
      </w:r>
      <w:r w:rsidR="0058366E" w:rsidRPr="0058366E">
        <w:rPr>
          <w:rFonts w:cstheme="minorHAnsi"/>
          <w:lang w:val="en-US"/>
        </w:rPr>
        <w:t xml:space="preserve">ur review of the </w:t>
      </w:r>
      <w:r w:rsidR="002132D9">
        <w:rPr>
          <w:rFonts w:cstheme="minorHAnsi"/>
          <w:lang w:val="en-US"/>
        </w:rPr>
        <w:t xml:space="preserve">key </w:t>
      </w:r>
      <w:r w:rsidR="0058366E" w:rsidRPr="0058366E">
        <w:rPr>
          <w:rFonts w:cstheme="minorHAnsi"/>
          <w:lang w:val="en-US"/>
        </w:rPr>
        <w:t xml:space="preserve">tax measures and </w:t>
      </w:r>
      <w:r w:rsidR="002132D9">
        <w:rPr>
          <w:rFonts w:cstheme="minorHAnsi"/>
          <w:lang w:val="en-US"/>
        </w:rPr>
        <w:t xml:space="preserve">related </w:t>
      </w:r>
      <w:r w:rsidR="0058366E" w:rsidRPr="0058366E">
        <w:rPr>
          <w:rFonts w:cstheme="minorHAnsi"/>
          <w:lang w:val="en-US"/>
        </w:rPr>
        <w:t>announcements will show</w:t>
      </w:r>
      <w:r w:rsidR="002132D9">
        <w:rPr>
          <w:rFonts w:cstheme="minorHAnsi"/>
          <w:lang w:val="en-US"/>
        </w:rPr>
        <w:t>,</w:t>
      </w:r>
      <w:r w:rsidR="0058366E" w:rsidRPr="0058366E">
        <w:rPr>
          <w:rFonts w:cstheme="minorHAnsi"/>
          <w:lang w:val="en-US"/>
        </w:rPr>
        <w:t xml:space="preserve"> this year’s budget was more </w:t>
      </w:r>
      <w:r w:rsidR="002132D9" w:rsidRPr="0058366E">
        <w:rPr>
          <w:rFonts w:cstheme="minorHAnsi"/>
          <w:lang w:val="en-US"/>
        </w:rPr>
        <w:t>strategic</w:t>
      </w:r>
      <w:r w:rsidR="002132D9">
        <w:rPr>
          <w:rFonts w:cstheme="minorHAnsi"/>
          <w:lang w:val="en-US"/>
        </w:rPr>
        <w:t xml:space="preserve"> and transitional (i.e., </w:t>
      </w:r>
      <w:r w:rsidR="002132D9" w:rsidRPr="00070889">
        <w:rPr>
          <w:rFonts w:cstheme="minorHAnsi"/>
          <w:i/>
          <w:iCs/>
          <w:lang w:val="en-US"/>
        </w:rPr>
        <w:t>distinguishing capital investments from operational day-to-day expenditures, etc</w:t>
      </w:r>
      <w:r w:rsidR="002132D9">
        <w:rPr>
          <w:rFonts w:cstheme="minorHAnsi"/>
          <w:lang w:val="en-US"/>
        </w:rPr>
        <w:t xml:space="preserve">.), rather </w:t>
      </w:r>
      <w:r w:rsidR="002132D9" w:rsidRPr="002132D9">
        <w:rPr>
          <w:rFonts w:cstheme="minorHAnsi"/>
          <w:lang w:val="en-US"/>
        </w:rPr>
        <w:t>than setting a defining legacy for future generations.</w:t>
      </w:r>
    </w:p>
    <w:p w14:paraId="1893F60B" w14:textId="35C1058C" w:rsidR="001D17AB" w:rsidRPr="001D17AB" w:rsidRDefault="0058366E" w:rsidP="00070889">
      <w:pPr>
        <w:autoSpaceDE w:val="0"/>
        <w:autoSpaceDN w:val="0"/>
        <w:adjustRightInd w:val="0"/>
        <w:spacing w:after="120" w:line="240" w:lineRule="auto"/>
        <w:jc w:val="both"/>
        <w:rPr>
          <w:rFonts w:cstheme="minorHAnsi"/>
          <w:lang w:val="en-US"/>
        </w:rPr>
      </w:pPr>
      <w:r w:rsidRPr="0058366E">
        <w:rPr>
          <w:rFonts w:cstheme="minorHAnsi"/>
          <w:lang w:val="en-US"/>
        </w:rPr>
        <w:t xml:space="preserve">Budget 2025 focuses on targeted government actions </w:t>
      </w:r>
      <w:r w:rsidR="001D17AB" w:rsidRPr="001D17AB">
        <w:rPr>
          <w:rFonts w:cstheme="minorHAnsi"/>
          <w:lang w:val="en-US"/>
        </w:rPr>
        <w:t>to boost investment, strengthen infrastructure, and enhance productivity and competitiveness, while curbing public spending. The government aims to generate a combined $60 billion in savings and new revenues over five years, despite persistent economic and geopolitical headwinds.</w:t>
      </w:r>
    </w:p>
    <w:p w14:paraId="523313F2" w14:textId="28D6066B" w:rsidR="005E1D56" w:rsidRDefault="005C249B" w:rsidP="005C249B">
      <w:pPr>
        <w:autoSpaceDE w:val="0"/>
        <w:autoSpaceDN w:val="0"/>
        <w:adjustRightInd w:val="0"/>
        <w:spacing w:after="120" w:line="240" w:lineRule="auto"/>
        <w:jc w:val="both"/>
        <w:rPr>
          <w:rFonts w:cstheme="minorHAnsi"/>
          <w:lang w:val="en-US"/>
        </w:rPr>
      </w:pPr>
      <w:r w:rsidRPr="0058366E">
        <w:rPr>
          <w:rFonts w:cstheme="minorHAnsi"/>
          <w:lang w:val="en-US"/>
        </w:rPr>
        <w:t>The</w:t>
      </w:r>
      <w:r w:rsidR="009666DE">
        <w:rPr>
          <w:rFonts w:cstheme="minorHAnsi"/>
          <w:lang w:val="en-US"/>
        </w:rPr>
        <w:t xml:space="preserve"> measures </w:t>
      </w:r>
      <w:r w:rsidR="002132D9">
        <w:rPr>
          <w:rFonts w:cstheme="minorHAnsi"/>
          <w:lang w:val="en-US"/>
        </w:rPr>
        <w:t xml:space="preserve">and tax announcements </w:t>
      </w:r>
      <w:r w:rsidR="009666DE">
        <w:rPr>
          <w:rFonts w:cstheme="minorHAnsi"/>
          <w:lang w:val="en-US"/>
        </w:rPr>
        <w:t xml:space="preserve">included in Budget 2025, </w:t>
      </w:r>
      <w:r w:rsidRPr="0058366E">
        <w:rPr>
          <w:rFonts w:cstheme="minorHAnsi"/>
          <w:lang w:val="en-US"/>
        </w:rPr>
        <w:t xml:space="preserve">which are presented </w:t>
      </w:r>
      <w:r w:rsidR="002132D9">
        <w:rPr>
          <w:rFonts w:cstheme="minorHAnsi"/>
          <w:lang w:val="en-US"/>
        </w:rPr>
        <w:t xml:space="preserve">and discussed </w:t>
      </w:r>
      <w:r w:rsidRPr="0058366E">
        <w:rPr>
          <w:rFonts w:cstheme="minorHAnsi"/>
          <w:lang w:val="en-US"/>
        </w:rPr>
        <w:t>below</w:t>
      </w:r>
      <w:r w:rsidR="009666DE">
        <w:rPr>
          <w:rFonts w:cstheme="minorHAnsi"/>
          <w:lang w:val="en-US"/>
        </w:rPr>
        <w:t xml:space="preserve">, </w:t>
      </w:r>
      <w:r w:rsidR="002132D9">
        <w:rPr>
          <w:rFonts w:cstheme="minorHAnsi"/>
          <w:lang w:val="en-US"/>
        </w:rPr>
        <w:t xml:space="preserve">are </w:t>
      </w:r>
      <w:r w:rsidR="001D17AB">
        <w:rPr>
          <w:rFonts w:cstheme="minorHAnsi"/>
          <w:lang w:val="en-US"/>
        </w:rPr>
        <w:t>design</w:t>
      </w:r>
      <w:r w:rsidR="005E1D56">
        <w:rPr>
          <w:rFonts w:cstheme="minorHAnsi"/>
          <w:lang w:val="en-US"/>
        </w:rPr>
        <w:t xml:space="preserve">ed </w:t>
      </w:r>
      <w:r w:rsidR="001D17AB">
        <w:rPr>
          <w:rFonts w:cstheme="minorHAnsi"/>
          <w:lang w:val="en-US"/>
        </w:rPr>
        <w:t xml:space="preserve">to </w:t>
      </w:r>
      <w:r w:rsidR="005E1D56" w:rsidRPr="0058366E">
        <w:rPr>
          <w:rFonts w:cstheme="minorHAnsi"/>
          <w:lang w:val="en-US"/>
        </w:rPr>
        <w:t xml:space="preserve">foster </w:t>
      </w:r>
      <w:r w:rsidR="001D17AB">
        <w:rPr>
          <w:rFonts w:cstheme="minorHAnsi"/>
          <w:lang w:val="en-US"/>
        </w:rPr>
        <w:t xml:space="preserve">Canada’s </w:t>
      </w:r>
      <w:r w:rsidR="005E1D56" w:rsidRPr="0058366E">
        <w:rPr>
          <w:rFonts w:cstheme="minorHAnsi"/>
          <w:lang w:val="en-US"/>
        </w:rPr>
        <w:t>sustainable long-term economic growth</w:t>
      </w:r>
      <w:r w:rsidR="00070889">
        <w:rPr>
          <w:rFonts w:cstheme="minorHAnsi"/>
          <w:lang w:val="en-US"/>
        </w:rPr>
        <w:t>.</w:t>
      </w:r>
    </w:p>
    <w:p w14:paraId="67871CED" w14:textId="32A427E6" w:rsidR="005C249B" w:rsidRPr="005C249B" w:rsidRDefault="00070889" w:rsidP="00070889">
      <w:pPr>
        <w:autoSpaceDE w:val="0"/>
        <w:autoSpaceDN w:val="0"/>
        <w:adjustRightInd w:val="0"/>
        <w:spacing w:after="120" w:line="240" w:lineRule="auto"/>
        <w:jc w:val="both"/>
        <w:rPr>
          <w:rFonts w:ascii="Times New Roman" w:hAnsi="Times New Roman" w:cs="Times New Roman"/>
          <w:b/>
          <w:bCs/>
          <w:noProof/>
          <w:color w:val="C00000"/>
          <w:sz w:val="28"/>
          <w:szCs w:val="28"/>
          <w:lang w:val="en-US"/>
        </w:rPr>
      </w:pPr>
      <w:r w:rsidRPr="00070889">
        <w:rPr>
          <w:rFonts w:cstheme="minorHAnsi"/>
          <w:lang w:val="en-US"/>
        </w:rPr>
        <w:t>In the following sections, we provide an overview of the key fiscal initiatives introduced by the federal government</w:t>
      </w:r>
      <w:r>
        <w:rPr>
          <w:rFonts w:cstheme="minorHAnsi"/>
          <w:lang w:val="en-US"/>
        </w:rPr>
        <w:t xml:space="preserve"> (including modifications, changes and cancellation of existing measures)</w:t>
      </w:r>
      <w:r w:rsidRPr="00070889">
        <w:rPr>
          <w:rFonts w:cstheme="minorHAnsi"/>
          <w:lang w:val="en-US"/>
        </w:rPr>
        <w:t>, highlighting their objectives</w:t>
      </w:r>
      <w:r>
        <w:rPr>
          <w:rFonts w:cstheme="minorHAnsi"/>
          <w:lang w:val="en-US"/>
        </w:rPr>
        <w:t xml:space="preserve"> </w:t>
      </w:r>
      <w:r w:rsidRPr="00070889">
        <w:rPr>
          <w:rFonts w:cstheme="minorHAnsi"/>
          <w:lang w:val="en-US"/>
        </w:rPr>
        <w:t>and potential implications for both individuals and corporations.</w:t>
      </w:r>
      <w:r w:rsidR="005C249B" w:rsidRPr="005C249B">
        <w:rPr>
          <w:rFonts w:ascii="Times New Roman" w:hAnsi="Times New Roman" w:cs="Times New Roman"/>
          <w:color w:val="C00000"/>
          <w:sz w:val="28"/>
          <w:szCs w:val="28"/>
          <w:lang w:val="en-US"/>
        </w:rPr>
        <w:br w:type="page"/>
      </w:r>
    </w:p>
    <w:p w14:paraId="40C7427A" w14:textId="77777777" w:rsidR="005C249B" w:rsidRPr="005C249B" w:rsidRDefault="005C249B">
      <w:pPr>
        <w:pStyle w:val="TM1"/>
        <w:rPr>
          <w:rFonts w:ascii="Times New Roman" w:hAnsi="Times New Roman" w:cs="Times New Roman"/>
          <w:color w:val="C00000"/>
          <w:sz w:val="28"/>
          <w:szCs w:val="28"/>
          <w:lang w:val="en-US"/>
        </w:rPr>
      </w:pPr>
      <w:bookmarkStart w:id="1" w:name="_Hlk213320986"/>
    </w:p>
    <w:p w14:paraId="28F9A590" w14:textId="2E62012E" w:rsidR="00C26C9E" w:rsidRDefault="000F236C">
      <w:pPr>
        <w:pStyle w:val="TM1"/>
        <w:rPr>
          <w:rFonts w:eastAsiaTheme="minorEastAsia"/>
          <w:b w:val="0"/>
          <w:bCs w:val="0"/>
          <w:lang w:val="en-US"/>
        </w:rPr>
      </w:pPr>
      <w:r>
        <w:rPr>
          <w:rFonts w:ascii="Times New Roman" w:hAnsi="Times New Roman" w:cs="Times New Roman"/>
          <w:color w:val="C00000"/>
          <w:sz w:val="28"/>
          <w:szCs w:val="28"/>
        </w:rPr>
        <w:fldChar w:fldCharType="begin"/>
      </w:r>
      <w:r>
        <w:rPr>
          <w:rFonts w:ascii="Times New Roman" w:hAnsi="Times New Roman" w:cs="Times New Roman"/>
          <w:color w:val="C00000"/>
          <w:sz w:val="28"/>
          <w:szCs w:val="28"/>
        </w:rPr>
        <w:instrText xml:space="preserve"> TOC \o "1-6" \h \z \u </w:instrText>
      </w:r>
      <w:r>
        <w:rPr>
          <w:rFonts w:ascii="Times New Roman" w:hAnsi="Times New Roman" w:cs="Times New Roman"/>
          <w:color w:val="C00000"/>
          <w:sz w:val="28"/>
          <w:szCs w:val="28"/>
        </w:rPr>
        <w:fldChar w:fldCharType="separate"/>
      </w:r>
      <w:hyperlink w:anchor="_Toc213427573" w:history="1">
        <w:r w:rsidR="00C26C9E" w:rsidRPr="00A10D00">
          <w:rPr>
            <w:rStyle w:val="Lienhypertexte"/>
            <w:rFonts w:cstheme="minorHAnsi"/>
            <w:lang w:val="en-US"/>
          </w:rPr>
          <w:t>Federal Budget 2025- A roadmap to sustainable economic growth</w:t>
        </w:r>
        <w:r w:rsidR="00C26C9E">
          <w:rPr>
            <w:webHidden/>
          </w:rPr>
          <w:tab/>
        </w:r>
        <w:r w:rsidR="00C26C9E">
          <w:rPr>
            <w:webHidden/>
          </w:rPr>
          <w:fldChar w:fldCharType="begin"/>
        </w:r>
        <w:r w:rsidR="00C26C9E">
          <w:rPr>
            <w:webHidden/>
          </w:rPr>
          <w:instrText xml:space="preserve"> PAGEREF _Toc213427573 \h </w:instrText>
        </w:r>
        <w:r w:rsidR="00C26C9E">
          <w:rPr>
            <w:webHidden/>
          </w:rPr>
        </w:r>
        <w:r w:rsidR="00C26C9E">
          <w:rPr>
            <w:webHidden/>
          </w:rPr>
          <w:fldChar w:fldCharType="separate"/>
        </w:r>
        <w:r w:rsidR="000A544B">
          <w:rPr>
            <w:webHidden/>
          </w:rPr>
          <w:t>1</w:t>
        </w:r>
        <w:r w:rsidR="00C26C9E">
          <w:rPr>
            <w:webHidden/>
          </w:rPr>
          <w:fldChar w:fldCharType="end"/>
        </w:r>
      </w:hyperlink>
    </w:p>
    <w:p w14:paraId="0C5160CE" w14:textId="7891D30B" w:rsidR="00C26C9E" w:rsidRDefault="00C26C9E">
      <w:pPr>
        <w:pStyle w:val="TM1"/>
        <w:rPr>
          <w:rFonts w:eastAsiaTheme="minorEastAsia"/>
          <w:b w:val="0"/>
          <w:bCs w:val="0"/>
          <w:lang w:val="en-US"/>
        </w:rPr>
      </w:pPr>
      <w:hyperlink w:anchor="_Toc213427574" w:history="1">
        <w:r w:rsidRPr="00A10D00">
          <w:rPr>
            <w:rStyle w:val="Lienhypertexte"/>
            <w:lang w:val="en-US"/>
          </w:rPr>
          <w:t>Personal Income Tax Measures</w:t>
        </w:r>
        <w:r>
          <w:rPr>
            <w:webHidden/>
          </w:rPr>
          <w:tab/>
        </w:r>
        <w:r>
          <w:rPr>
            <w:webHidden/>
          </w:rPr>
          <w:fldChar w:fldCharType="begin"/>
        </w:r>
        <w:r>
          <w:rPr>
            <w:webHidden/>
          </w:rPr>
          <w:instrText xml:space="preserve"> PAGEREF _Toc213427574 \h </w:instrText>
        </w:r>
        <w:r>
          <w:rPr>
            <w:webHidden/>
          </w:rPr>
        </w:r>
        <w:r>
          <w:rPr>
            <w:webHidden/>
          </w:rPr>
          <w:fldChar w:fldCharType="separate"/>
        </w:r>
        <w:r w:rsidR="000A544B">
          <w:rPr>
            <w:webHidden/>
          </w:rPr>
          <w:t>3</w:t>
        </w:r>
        <w:r>
          <w:rPr>
            <w:webHidden/>
          </w:rPr>
          <w:fldChar w:fldCharType="end"/>
        </w:r>
      </w:hyperlink>
    </w:p>
    <w:p w14:paraId="28FB69FF" w14:textId="58B5B8DD" w:rsidR="00C26C9E" w:rsidRDefault="00C26C9E">
      <w:pPr>
        <w:pStyle w:val="TM2"/>
        <w:tabs>
          <w:tab w:val="right" w:leader="dot" w:pos="10070"/>
        </w:tabs>
        <w:rPr>
          <w:rFonts w:eastAsiaTheme="minorEastAsia"/>
          <w:noProof/>
          <w:lang w:val="en-US"/>
        </w:rPr>
      </w:pPr>
      <w:hyperlink w:anchor="_Toc213427575" w:history="1">
        <w:r w:rsidRPr="00A10D00">
          <w:rPr>
            <w:rStyle w:val="Lienhypertexte"/>
            <w:noProof/>
            <w:lang w:val="en-US"/>
          </w:rPr>
          <w:t>Reduction of the Personal income tax rate of the first income bracket</w:t>
        </w:r>
        <w:r>
          <w:rPr>
            <w:noProof/>
            <w:webHidden/>
          </w:rPr>
          <w:tab/>
        </w:r>
        <w:r>
          <w:rPr>
            <w:noProof/>
            <w:webHidden/>
          </w:rPr>
          <w:fldChar w:fldCharType="begin"/>
        </w:r>
        <w:r>
          <w:rPr>
            <w:noProof/>
            <w:webHidden/>
          </w:rPr>
          <w:instrText xml:space="preserve"> PAGEREF _Toc213427575 \h </w:instrText>
        </w:r>
        <w:r>
          <w:rPr>
            <w:noProof/>
            <w:webHidden/>
          </w:rPr>
        </w:r>
        <w:r>
          <w:rPr>
            <w:noProof/>
            <w:webHidden/>
          </w:rPr>
          <w:fldChar w:fldCharType="separate"/>
        </w:r>
        <w:r w:rsidR="000A544B">
          <w:rPr>
            <w:noProof/>
            <w:webHidden/>
          </w:rPr>
          <w:t>3</w:t>
        </w:r>
        <w:r>
          <w:rPr>
            <w:noProof/>
            <w:webHidden/>
          </w:rPr>
          <w:fldChar w:fldCharType="end"/>
        </w:r>
      </w:hyperlink>
    </w:p>
    <w:p w14:paraId="501E2717" w14:textId="6425D84A" w:rsidR="00C26C9E" w:rsidRDefault="00C26C9E">
      <w:pPr>
        <w:pStyle w:val="TM2"/>
        <w:tabs>
          <w:tab w:val="right" w:leader="dot" w:pos="10070"/>
        </w:tabs>
        <w:rPr>
          <w:rFonts w:eastAsiaTheme="minorEastAsia"/>
          <w:noProof/>
          <w:lang w:val="en-US"/>
        </w:rPr>
      </w:pPr>
      <w:hyperlink w:anchor="_Toc213427576" w:history="1">
        <w:r w:rsidRPr="00A10D00">
          <w:rPr>
            <w:rStyle w:val="Lienhypertexte"/>
            <w:noProof/>
            <w:lang w:val="en-US"/>
          </w:rPr>
          <w:t>Personal Support Workers Tax Credit</w:t>
        </w:r>
        <w:r>
          <w:rPr>
            <w:noProof/>
            <w:webHidden/>
          </w:rPr>
          <w:tab/>
        </w:r>
        <w:r>
          <w:rPr>
            <w:noProof/>
            <w:webHidden/>
          </w:rPr>
          <w:fldChar w:fldCharType="begin"/>
        </w:r>
        <w:r>
          <w:rPr>
            <w:noProof/>
            <w:webHidden/>
          </w:rPr>
          <w:instrText xml:space="preserve"> PAGEREF _Toc213427576 \h </w:instrText>
        </w:r>
        <w:r>
          <w:rPr>
            <w:noProof/>
            <w:webHidden/>
          </w:rPr>
        </w:r>
        <w:r>
          <w:rPr>
            <w:noProof/>
            <w:webHidden/>
          </w:rPr>
          <w:fldChar w:fldCharType="separate"/>
        </w:r>
        <w:r w:rsidR="000A544B">
          <w:rPr>
            <w:noProof/>
            <w:webHidden/>
          </w:rPr>
          <w:t>3</w:t>
        </w:r>
        <w:r>
          <w:rPr>
            <w:noProof/>
            <w:webHidden/>
          </w:rPr>
          <w:fldChar w:fldCharType="end"/>
        </w:r>
      </w:hyperlink>
    </w:p>
    <w:p w14:paraId="2FCE73D3" w14:textId="3B58AAFE" w:rsidR="00C26C9E" w:rsidRDefault="00C26C9E">
      <w:pPr>
        <w:pStyle w:val="TM2"/>
        <w:tabs>
          <w:tab w:val="right" w:leader="dot" w:pos="10070"/>
        </w:tabs>
        <w:rPr>
          <w:rFonts w:eastAsiaTheme="minorEastAsia"/>
          <w:noProof/>
          <w:lang w:val="en-US"/>
        </w:rPr>
      </w:pPr>
      <w:hyperlink w:anchor="_Toc213427577" w:history="1">
        <w:r w:rsidRPr="00A10D00">
          <w:rPr>
            <w:rStyle w:val="Lienhypertexte"/>
            <w:noProof/>
            <w:lang w:val="en-US"/>
          </w:rPr>
          <w:t>Automatic Federal Benefits for Lower-Income Individuals</w:t>
        </w:r>
        <w:r>
          <w:rPr>
            <w:noProof/>
            <w:webHidden/>
          </w:rPr>
          <w:tab/>
        </w:r>
        <w:r>
          <w:rPr>
            <w:noProof/>
            <w:webHidden/>
          </w:rPr>
          <w:fldChar w:fldCharType="begin"/>
        </w:r>
        <w:r>
          <w:rPr>
            <w:noProof/>
            <w:webHidden/>
          </w:rPr>
          <w:instrText xml:space="preserve"> PAGEREF _Toc213427577 \h </w:instrText>
        </w:r>
        <w:r>
          <w:rPr>
            <w:noProof/>
            <w:webHidden/>
          </w:rPr>
        </w:r>
        <w:r>
          <w:rPr>
            <w:noProof/>
            <w:webHidden/>
          </w:rPr>
          <w:fldChar w:fldCharType="separate"/>
        </w:r>
        <w:r w:rsidR="000A544B">
          <w:rPr>
            <w:noProof/>
            <w:webHidden/>
          </w:rPr>
          <w:t>3</w:t>
        </w:r>
        <w:r>
          <w:rPr>
            <w:noProof/>
            <w:webHidden/>
          </w:rPr>
          <w:fldChar w:fldCharType="end"/>
        </w:r>
      </w:hyperlink>
    </w:p>
    <w:p w14:paraId="1E3E30A8" w14:textId="6C2CEB94" w:rsidR="00C26C9E" w:rsidRDefault="00C26C9E">
      <w:pPr>
        <w:pStyle w:val="TM2"/>
        <w:tabs>
          <w:tab w:val="right" w:leader="dot" w:pos="10070"/>
        </w:tabs>
        <w:rPr>
          <w:rFonts w:eastAsiaTheme="minorEastAsia"/>
          <w:noProof/>
          <w:lang w:val="en-US"/>
        </w:rPr>
      </w:pPr>
      <w:hyperlink w:anchor="_Toc213427578" w:history="1">
        <w:r w:rsidRPr="00A10D00">
          <w:rPr>
            <w:rStyle w:val="Lienhypertexte"/>
            <w:noProof/>
            <w:lang w:val="en-US"/>
          </w:rPr>
          <w:t>Top-Up Tax Credit</w:t>
        </w:r>
        <w:r>
          <w:rPr>
            <w:noProof/>
            <w:webHidden/>
          </w:rPr>
          <w:tab/>
        </w:r>
        <w:r>
          <w:rPr>
            <w:noProof/>
            <w:webHidden/>
          </w:rPr>
          <w:fldChar w:fldCharType="begin"/>
        </w:r>
        <w:r>
          <w:rPr>
            <w:noProof/>
            <w:webHidden/>
          </w:rPr>
          <w:instrText xml:space="preserve"> PAGEREF _Toc213427578 \h </w:instrText>
        </w:r>
        <w:r>
          <w:rPr>
            <w:noProof/>
            <w:webHidden/>
          </w:rPr>
        </w:r>
        <w:r>
          <w:rPr>
            <w:noProof/>
            <w:webHidden/>
          </w:rPr>
          <w:fldChar w:fldCharType="separate"/>
        </w:r>
        <w:r w:rsidR="000A544B">
          <w:rPr>
            <w:noProof/>
            <w:webHidden/>
          </w:rPr>
          <w:t>4</w:t>
        </w:r>
        <w:r>
          <w:rPr>
            <w:noProof/>
            <w:webHidden/>
          </w:rPr>
          <w:fldChar w:fldCharType="end"/>
        </w:r>
      </w:hyperlink>
    </w:p>
    <w:p w14:paraId="52DD700D" w14:textId="1D9BB592" w:rsidR="00C26C9E" w:rsidRDefault="00C26C9E">
      <w:pPr>
        <w:pStyle w:val="TM2"/>
        <w:tabs>
          <w:tab w:val="right" w:leader="dot" w:pos="10070"/>
        </w:tabs>
        <w:rPr>
          <w:rFonts w:eastAsiaTheme="minorEastAsia"/>
          <w:noProof/>
          <w:lang w:val="en-US"/>
        </w:rPr>
      </w:pPr>
      <w:hyperlink w:anchor="_Toc213427579" w:history="1">
        <w:r w:rsidRPr="00A10D00">
          <w:rPr>
            <w:rStyle w:val="Lienhypertexte"/>
            <w:noProof/>
            <w:lang w:val="en-US"/>
          </w:rPr>
          <w:t>Home Accessibility Tax Credit</w:t>
        </w:r>
        <w:r>
          <w:rPr>
            <w:noProof/>
            <w:webHidden/>
          </w:rPr>
          <w:tab/>
        </w:r>
        <w:r>
          <w:rPr>
            <w:noProof/>
            <w:webHidden/>
          </w:rPr>
          <w:fldChar w:fldCharType="begin"/>
        </w:r>
        <w:r>
          <w:rPr>
            <w:noProof/>
            <w:webHidden/>
          </w:rPr>
          <w:instrText xml:space="preserve"> PAGEREF _Toc213427579 \h </w:instrText>
        </w:r>
        <w:r>
          <w:rPr>
            <w:noProof/>
            <w:webHidden/>
          </w:rPr>
        </w:r>
        <w:r>
          <w:rPr>
            <w:noProof/>
            <w:webHidden/>
          </w:rPr>
          <w:fldChar w:fldCharType="separate"/>
        </w:r>
        <w:r w:rsidR="000A544B">
          <w:rPr>
            <w:noProof/>
            <w:webHidden/>
          </w:rPr>
          <w:t>4</w:t>
        </w:r>
        <w:r>
          <w:rPr>
            <w:noProof/>
            <w:webHidden/>
          </w:rPr>
          <w:fldChar w:fldCharType="end"/>
        </w:r>
      </w:hyperlink>
    </w:p>
    <w:p w14:paraId="14208675" w14:textId="58790FE4" w:rsidR="00C26C9E" w:rsidRDefault="00C26C9E">
      <w:pPr>
        <w:pStyle w:val="TM2"/>
        <w:tabs>
          <w:tab w:val="right" w:leader="dot" w:pos="10070"/>
        </w:tabs>
        <w:rPr>
          <w:rFonts w:eastAsiaTheme="minorEastAsia"/>
          <w:noProof/>
          <w:lang w:val="en-US"/>
        </w:rPr>
      </w:pPr>
      <w:hyperlink w:anchor="_Toc213427580" w:history="1">
        <w:r w:rsidRPr="00A10D00">
          <w:rPr>
            <w:rStyle w:val="Lienhypertexte"/>
            <w:noProof/>
            <w:lang w:val="en-US"/>
          </w:rPr>
          <w:t>Bare trust reporting rules</w:t>
        </w:r>
        <w:r>
          <w:rPr>
            <w:noProof/>
            <w:webHidden/>
          </w:rPr>
          <w:tab/>
        </w:r>
        <w:r>
          <w:rPr>
            <w:noProof/>
            <w:webHidden/>
          </w:rPr>
          <w:fldChar w:fldCharType="begin"/>
        </w:r>
        <w:r>
          <w:rPr>
            <w:noProof/>
            <w:webHidden/>
          </w:rPr>
          <w:instrText xml:space="preserve"> PAGEREF _Toc213427580 \h </w:instrText>
        </w:r>
        <w:r>
          <w:rPr>
            <w:noProof/>
            <w:webHidden/>
          </w:rPr>
        </w:r>
        <w:r>
          <w:rPr>
            <w:noProof/>
            <w:webHidden/>
          </w:rPr>
          <w:fldChar w:fldCharType="separate"/>
        </w:r>
        <w:r w:rsidR="000A544B">
          <w:rPr>
            <w:noProof/>
            <w:webHidden/>
          </w:rPr>
          <w:t>5</w:t>
        </w:r>
        <w:r>
          <w:rPr>
            <w:noProof/>
            <w:webHidden/>
          </w:rPr>
          <w:fldChar w:fldCharType="end"/>
        </w:r>
      </w:hyperlink>
    </w:p>
    <w:p w14:paraId="3ED2E0EA" w14:textId="7E5FE7E0" w:rsidR="00C26C9E" w:rsidRDefault="00C26C9E">
      <w:pPr>
        <w:pStyle w:val="TM2"/>
        <w:tabs>
          <w:tab w:val="right" w:leader="dot" w:pos="10070"/>
        </w:tabs>
        <w:rPr>
          <w:rFonts w:eastAsiaTheme="minorEastAsia"/>
          <w:noProof/>
          <w:lang w:val="en-US"/>
        </w:rPr>
      </w:pPr>
      <w:hyperlink w:anchor="_Toc213427581" w:history="1">
        <w:r w:rsidRPr="00A10D00">
          <w:rPr>
            <w:rStyle w:val="Lienhypertexte"/>
            <w:noProof/>
            <w:lang w:val="en-US"/>
          </w:rPr>
          <w:t>Personal Trust and the 21-Year Rule</w:t>
        </w:r>
        <w:r>
          <w:rPr>
            <w:noProof/>
            <w:webHidden/>
          </w:rPr>
          <w:tab/>
        </w:r>
        <w:r>
          <w:rPr>
            <w:noProof/>
            <w:webHidden/>
          </w:rPr>
          <w:fldChar w:fldCharType="begin"/>
        </w:r>
        <w:r>
          <w:rPr>
            <w:noProof/>
            <w:webHidden/>
          </w:rPr>
          <w:instrText xml:space="preserve"> PAGEREF _Toc213427581 \h </w:instrText>
        </w:r>
        <w:r>
          <w:rPr>
            <w:noProof/>
            <w:webHidden/>
          </w:rPr>
        </w:r>
        <w:r>
          <w:rPr>
            <w:noProof/>
            <w:webHidden/>
          </w:rPr>
          <w:fldChar w:fldCharType="separate"/>
        </w:r>
        <w:r w:rsidR="000A544B">
          <w:rPr>
            <w:noProof/>
            <w:webHidden/>
          </w:rPr>
          <w:t>5</w:t>
        </w:r>
        <w:r>
          <w:rPr>
            <w:noProof/>
            <w:webHidden/>
          </w:rPr>
          <w:fldChar w:fldCharType="end"/>
        </w:r>
      </w:hyperlink>
    </w:p>
    <w:p w14:paraId="3B0B4381" w14:textId="43E111B8" w:rsidR="00C26C9E" w:rsidRDefault="00C26C9E">
      <w:pPr>
        <w:pStyle w:val="TM2"/>
        <w:tabs>
          <w:tab w:val="right" w:leader="dot" w:pos="10070"/>
        </w:tabs>
        <w:rPr>
          <w:rFonts w:eastAsiaTheme="minorEastAsia"/>
          <w:noProof/>
          <w:lang w:val="en-US"/>
        </w:rPr>
      </w:pPr>
      <w:hyperlink w:anchor="_Toc213427582" w:history="1">
        <w:r w:rsidRPr="00A10D00">
          <w:rPr>
            <w:rStyle w:val="Lienhypertexte"/>
            <w:noProof/>
            <w:lang w:val="en-US"/>
          </w:rPr>
          <w:t>Canadian Entrepreneurs’ Incentive</w:t>
        </w:r>
        <w:r>
          <w:rPr>
            <w:noProof/>
            <w:webHidden/>
          </w:rPr>
          <w:tab/>
        </w:r>
        <w:r>
          <w:rPr>
            <w:noProof/>
            <w:webHidden/>
          </w:rPr>
          <w:fldChar w:fldCharType="begin"/>
        </w:r>
        <w:r>
          <w:rPr>
            <w:noProof/>
            <w:webHidden/>
          </w:rPr>
          <w:instrText xml:space="preserve"> PAGEREF _Toc213427582 \h </w:instrText>
        </w:r>
        <w:r>
          <w:rPr>
            <w:noProof/>
            <w:webHidden/>
          </w:rPr>
        </w:r>
        <w:r>
          <w:rPr>
            <w:noProof/>
            <w:webHidden/>
          </w:rPr>
          <w:fldChar w:fldCharType="separate"/>
        </w:r>
        <w:r w:rsidR="000A544B">
          <w:rPr>
            <w:noProof/>
            <w:webHidden/>
          </w:rPr>
          <w:t>5</w:t>
        </w:r>
        <w:r>
          <w:rPr>
            <w:noProof/>
            <w:webHidden/>
          </w:rPr>
          <w:fldChar w:fldCharType="end"/>
        </w:r>
      </w:hyperlink>
    </w:p>
    <w:p w14:paraId="3A29852E" w14:textId="1F01AAA7" w:rsidR="00C26C9E" w:rsidRDefault="00C26C9E">
      <w:pPr>
        <w:pStyle w:val="TM2"/>
        <w:tabs>
          <w:tab w:val="right" w:leader="dot" w:pos="10070"/>
        </w:tabs>
        <w:rPr>
          <w:rFonts w:eastAsiaTheme="minorEastAsia"/>
          <w:noProof/>
          <w:lang w:val="en-US"/>
        </w:rPr>
      </w:pPr>
      <w:hyperlink w:anchor="_Toc213427583" w:history="1">
        <w:r w:rsidRPr="00A10D00">
          <w:rPr>
            <w:rStyle w:val="Lienhypertexte"/>
            <w:noProof/>
            <w:lang w:val="en-US"/>
          </w:rPr>
          <w:t>Qualified investments for registered plans</w:t>
        </w:r>
        <w:r>
          <w:rPr>
            <w:noProof/>
            <w:webHidden/>
          </w:rPr>
          <w:tab/>
        </w:r>
        <w:r>
          <w:rPr>
            <w:noProof/>
            <w:webHidden/>
          </w:rPr>
          <w:fldChar w:fldCharType="begin"/>
        </w:r>
        <w:r>
          <w:rPr>
            <w:noProof/>
            <w:webHidden/>
          </w:rPr>
          <w:instrText xml:space="preserve"> PAGEREF _Toc213427583 \h </w:instrText>
        </w:r>
        <w:r>
          <w:rPr>
            <w:noProof/>
            <w:webHidden/>
          </w:rPr>
        </w:r>
        <w:r>
          <w:rPr>
            <w:noProof/>
            <w:webHidden/>
          </w:rPr>
          <w:fldChar w:fldCharType="separate"/>
        </w:r>
        <w:r w:rsidR="000A544B">
          <w:rPr>
            <w:noProof/>
            <w:webHidden/>
          </w:rPr>
          <w:t>5</w:t>
        </w:r>
        <w:r>
          <w:rPr>
            <w:noProof/>
            <w:webHidden/>
          </w:rPr>
          <w:fldChar w:fldCharType="end"/>
        </w:r>
      </w:hyperlink>
    </w:p>
    <w:p w14:paraId="65E6FCF7" w14:textId="7A7B45E0" w:rsidR="00C26C9E" w:rsidRDefault="00C26C9E">
      <w:pPr>
        <w:pStyle w:val="TM1"/>
        <w:rPr>
          <w:rFonts w:eastAsiaTheme="minorEastAsia"/>
          <w:b w:val="0"/>
          <w:bCs w:val="0"/>
          <w:lang w:val="en-US"/>
        </w:rPr>
      </w:pPr>
      <w:hyperlink w:anchor="_Toc213427584" w:history="1">
        <w:r w:rsidRPr="00A10D00">
          <w:rPr>
            <w:rStyle w:val="Lienhypertexte"/>
            <w:lang w:val="en-US"/>
          </w:rPr>
          <w:t>Business Income Tax Measures</w:t>
        </w:r>
        <w:r>
          <w:rPr>
            <w:webHidden/>
          </w:rPr>
          <w:tab/>
        </w:r>
        <w:r>
          <w:rPr>
            <w:webHidden/>
          </w:rPr>
          <w:fldChar w:fldCharType="begin"/>
        </w:r>
        <w:r>
          <w:rPr>
            <w:webHidden/>
          </w:rPr>
          <w:instrText xml:space="preserve"> PAGEREF _Toc213427584 \h </w:instrText>
        </w:r>
        <w:r>
          <w:rPr>
            <w:webHidden/>
          </w:rPr>
        </w:r>
        <w:r>
          <w:rPr>
            <w:webHidden/>
          </w:rPr>
          <w:fldChar w:fldCharType="separate"/>
        </w:r>
        <w:r w:rsidR="000A544B">
          <w:rPr>
            <w:webHidden/>
          </w:rPr>
          <w:t>6</w:t>
        </w:r>
        <w:r>
          <w:rPr>
            <w:webHidden/>
          </w:rPr>
          <w:fldChar w:fldCharType="end"/>
        </w:r>
      </w:hyperlink>
    </w:p>
    <w:p w14:paraId="698385F7" w14:textId="0E0B658C" w:rsidR="00C26C9E" w:rsidRDefault="00C26C9E">
      <w:pPr>
        <w:pStyle w:val="TM2"/>
        <w:tabs>
          <w:tab w:val="right" w:leader="dot" w:pos="10070"/>
        </w:tabs>
        <w:rPr>
          <w:rFonts w:eastAsiaTheme="minorEastAsia"/>
          <w:noProof/>
          <w:lang w:val="en-US"/>
        </w:rPr>
      </w:pPr>
      <w:hyperlink w:anchor="_Toc213427585" w:history="1">
        <w:r w:rsidRPr="00A10D00">
          <w:rPr>
            <w:rStyle w:val="Lienhypertexte"/>
            <w:noProof/>
            <w:lang w:val="en-US"/>
          </w:rPr>
          <w:t>Immediate Expensing for Manufacturing and Processing Buildings</w:t>
        </w:r>
        <w:r>
          <w:rPr>
            <w:noProof/>
            <w:webHidden/>
          </w:rPr>
          <w:tab/>
        </w:r>
        <w:r>
          <w:rPr>
            <w:noProof/>
            <w:webHidden/>
          </w:rPr>
          <w:fldChar w:fldCharType="begin"/>
        </w:r>
        <w:r>
          <w:rPr>
            <w:noProof/>
            <w:webHidden/>
          </w:rPr>
          <w:instrText xml:space="preserve"> PAGEREF _Toc213427585 \h </w:instrText>
        </w:r>
        <w:r>
          <w:rPr>
            <w:noProof/>
            <w:webHidden/>
          </w:rPr>
        </w:r>
        <w:r>
          <w:rPr>
            <w:noProof/>
            <w:webHidden/>
          </w:rPr>
          <w:fldChar w:fldCharType="separate"/>
        </w:r>
        <w:r w:rsidR="000A544B">
          <w:rPr>
            <w:noProof/>
            <w:webHidden/>
          </w:rPr>
          <w:t>6</w:t>
        </w:r>
        <w:r>
          <w:rPr>
            <w:noProof/>
            <w:webHidden/>
          </w:rPr>
          <w:fldChar w:fldCharType="end"/>
        </w:r>
      </w:hyperlink>
    </w:p>
    <w:p w14:paraId="75B746B2" w14:textId="3FF56BB4" w:rsidR="00C26C9E" w:rsidRDefault="00C26C9E">
      <w:pPr>
        <w:pStyle w:val="TM2"/>
        <w:tabs>
          <w:tab w:val="right" w:leader="dot" w:pos="10070"/>
        </w:tabs>
        <w:rPr>
          <w:rFonts w:eastAsiaTheme="minorEastAsia"/>
          <w:noProof/>
          <w:lang w:val="en-US"/>
        </w:rPr>
      </w:pPr>
      <w:hyperlink w:anchor="_Toc213427586" w:history="1">
        <w:r w:rsidRPr="00A10D00">
          <w:rPr>
            <w:rStyle w:val="Lienhypertexte"/>
            <w:noProof/>
            <w:lang w:val="en-US"/>
          </w:rPr>
          <w:t>Scientific Research and Experimental Development (“SR&amp;ED”) Tax Incentive Program</w:t>
        </w:r>
        <w:r>
          <w:rPr>
            <w:noProof/>
            <w:webHidden/>
          </w:rPr>
          <w:tab/>
        </w:r>
        <w:r>
          <w:rPr>
            <w:noProof/>
            <w:webHidden/>
          </w:rPr>
          <w:fldChar w:fldCharType="begin"/>
        </w:r>
        <w:r>
          <w:rPr>
            <w:noProof/>
            <w:webHidden/>
          </w:rPr>
          <w:instrText xml:space="preserve"> PAGEREF _Toc213427586 \h </w:instrText>
        </w:r>
        <w:r>
          <w:rPr>
            <w:noProof/>
            <w:webHidden/>
          </w:rPr>
        </w:r>
        <w:r>
          <w:rPr>
            <w:noProof/>
            <w:webHidden/>
          </w:rPr>
          <w:fldChar w:fldCharType="separate"/>
        </w:r>
        <w:r w:rsidR="000A544B">
          <w:rPr>
            <w:noProof/>
            <w:webHidden/>
          </w:rPr>
          <w:t>7</w:t>
        </w:r>
        <w:r>
          <w:rPr>
            <w:noProof/>
            <w:webHidden/>
          </w:rPr>
          <w:fldChar w:fldCharType="end"/>
        </w:r>
      </w:hyperlink>
    </w:p>
    <w:p w14:paraId="131FFF12" w14:textId="1B3F5942" w:rsidR="00C26C9E" w:rsidRDefault="00C26C9E">
      <w:pPr>
        <w:pStyle w:val="TM2"/>
        <w:tabs>
          <w:tab w:val="right" w:leader="dot" w:pos="10070"/>
        </w:tabs>
        <w:rPr>
          <w:rFonts w:eastAsiaTheme="minorEastAsia"/>
          <w:noProof/>
          <w:lang w:val="en-US"/>
        </w:rPr>
      </w:pPr>
      <w:hyperlink w:anchor="_Toc213427587" w:history="1">
        <w:r w:rsidRPr="00A10D00">
          <w:rPr>
            <w:rStyle w:val="Lienhypertexte"/>
            <w:noProof/>
            <w:lang w:val="en-US"/>
          </w:rPr>
          <w:t>Boosting Clean Economy Investment Through Tax Credits</w:t>
        </w:r>
        <w:r>
          <w:rPr>
            <w:noProof/>
            <w:webHidden/>
          </w:rPr>
          <w:tab/>
        </w:r>
        <w:r>
          <w:rPr>
            <w:noProof/>
            <w:webHidden/>
          </w:rPr>
          <w:fldChar w:fldCharType="begin"/>
        </w:r>
        <w:r>
          <w:rPr>
            <w:noProof/>
            <w:webHidden/>
          </w:rPr>
          <w:instrText xml:space="preserve"> PAGEREF _Toc213427587 \h </w:instrText>
        </w:r>
        <w:r>
          <w:rPr>
            <w:noProof/>
            <w:webHidden/>
          </w:rPr>
        </w:r>
        <w:r>
          <w:rPr>
            <w:noProof/>
            <w:webHidden/>
          </w:rPr>
          <w:fldChar w:fldCharType="separate"/>
        </w:r>
        <w:r w:rsidR="000A544B">
          <w:rPr>
            <w:noProof/>
            <w:webHidden/>
          </w:rPr>
          <w:t>8</w:t>
        </w:r>
        <w:r>
          <w:rPr>
            <w:noProof/>
            <w:webHidden/>
          </w:rPr>
          <w:fldChar w:fldCharType="end"/>
        </w:r>
      </w:hyperlink>
    </w:p>
    <w:p w14:paraId="4D89184D" w14:textId="611462EF" w:rsidR="00C26C9E" w:rsidRDefault="00C26C9E">
      <w:pPr>
        <w:pStyle w:val="TM2"/>
        <w:tabs>
          <w:tab w:val="right" w:leader="dot" w:pos="10070"/>
        </w:tabs>
        <w:rPr>
          <w:rFonts w:eastAsiaTheme="minorEastAsia"/>
          <w:noProof/>
          <w:lang w:val="en-US"/>
        </w:rPr>
      </w:pPr>
      <w:hyperlink w:anchor="_Toc213427588" w:history="1">
        <w:r w:rsidRPr="00A10D00">
          <w:rPr>
            <w:rStyle w:val="Lienhypertexte"/>
            <w:noProof/>
            <w:lang w:val="en-US"/>
          </w:rPr>
          <w:t>Critical Mineral Exploration Tax Credits</w:t>
        </w:r>
        <w:r>
          <w:rPr>
            <w:noProof/>
            <w:webHidden/>
          </w:rPr>
          <w:tab/>
        </w:r>
        <w:r>
          <w:rPr>
            <w:noProof/>
            <w:webHidden/>
          </w:rPr>
          <w:fldChar w:fldCharType="begin"/>
        </w:r>
        <w:r>
          <w:rPr>
            <w:noProof/>
            <w:webHidden/>
          </w:rPr>
          <w:instrText xml:space="preserve"> PAGEREF _Toc213427588 \h </w:instrText>
        </w:r>
        <w:r>
          <w:rPr>
            <w:noProof/>
            <w:webHidden/>
          </w:rPr>
        </w:r>
        <w:r>
          <w:rPr>
            <w:noProof/>
            <w:webHidden/>
          </w:rPr>
          <w:fldChar w:fldCharType="separate"/>
        </w:r>
        <w:r w:rsidR="000A544B">
          <w:rPr>
            <w:noProof/>
            <w:webHidden/>
          </w:rPr>
          <w:t>8</w:t>
        </w:r>
        <w:r>
          <w:rPr>
            <w:noProof/>
            <w:webHidden/>
          </w:rPr>
          <w:fldChar w:fldCharType="end"/>
        </w:r>
      </w:hyperlink>
    </w:p>
    <w:p w14:paraId="1F7615BF" w14:textId="1C84303A" w:rsidR="00C26C9E" w:rsidRDefault="00C26C9E">
      <w:pPr>
        <w:pStyle w:val="TM1"/>
        <w:rPr>
          <w:rFonts w:eastAsiaTheme="minorEastAsia"/>
          <w:b w:val="0"/>
          <w:bCs w:val="0"/>
          <w:lang w:val="en-US"/>
        </w:rPr>
      </w:pPr>
      <w:hyperlink w:anchor="_Toc213427589" w:history="1">
        <w:r w:rsidRPr="00A10D00">
          <w:rPr>
            <w:rStyle w:val="Lienhypertexte"/>
            <w:lang w:val="en-US"/>
          </w:rPr>
          <w:t>International Tax Measures</w:t>
        </w:r>
        <w:r>
          <w:rPr>
            <w:webHidden/>
          </w:rPr>
          <w:tab/>
        </w:r>
        <w:r>
          <w:rPr>
            <w:webHidden/>
          </w:rPr>
          <w:fldChar w:fldCharType="begin"/>
        </w:r>
        <w:r>
          <w:rPr>
            <w:webHidden/>
          </w:rPr>
          <w:instrText xml:space="preserve"> PAGEREF _Toc213427589 \h </w:instrText>
        </w:r>
        <w:r>
          <w:rPr>
            <w:webHidden/>
          </w:rPr>
        </w:r>
        <w:r>
          <w:rPr>
            <w:webHidden/>
          </w:rPr>
          <w:fldChar w:fldCharType="separate"/>
        </w:r>
        <w:r w:rsidR="000A544B">
          <w:rPr>
            <w:webHidden/>
          </w:rPr>
          <w:t>10</w:t>
        </w:r>
        <w:r>
          <w:rPr>
            <w:webHidden/>
          </w:rPr>
          <w:fldChar w:fldCharType="end"/>
        </w:r>
      </w:hyperlink>
    </w:p>
    <w:p w14:paraId="102CF6B7" w14:textId="6E73BCED" w:rsidR="00C26C9E" w:rsidRDefault="00C26C9E">
      <w:pPr>
        <w:pStyle w:val="TM2"/>
        <w:tabs>
          <w:tab w:val="right" w:leader="dot" w:pos="10070"/>
        </w:tabs>
        <w:rPr>
          <w:rFonts w:eastAsiaTheme="minorEastAsia"/>
          <w:noProof/>
          <w:lang w:val="en-US"/>
        </w:rPr>
      </w:pPr>
      <w:hyperlink w:anchor="_Toc213427590" w:history="1">
        <w:r w:rsidRPr="00A10D00">
          <w:rPr>
            <w:rStyle w:val="Lienhypertexte"/>
            <w:bCs/>
            <w:noProof/>
            <w:lang w:val="en-US"/>
          </w:rPr>
          <w:t>Investment Income Derived from Assets Supporting Canadian Insurance Risks</w:t>
        </w:r>
        <w:r>
          <w:rPr>
            <w:noProof/>
            <w:webHidden/>
          </w:rPr>
          <w:tab/>
        </w:r>
        <w:r>
          <w:rPr>
            <w:noProof/>
            <w:webHidden/>
          </w:rPr>
          <w:fldChar w:fldCharType="begin"/>
        </w:r>
        <w:r>
          <w:rPr>
            <w:noProof/>
            <w:webHidden/>
          </w:rPr>
          <w:instrText xml:space="preserve"> PAGEREF _Toc213427590 \h </w:instrText>
        </w:r>
        <w:r>
          <w:rPr>
            <w:noProof/>
            <w:webHidden/>
          </w:rPr>
        </w:r>
        <w:r>
          <w:rPr>
            <w:noProof/>
            <w:webHidden/>
          </w:rPr>
          <w:fldChar w:fldCharType="separate"/>
        </w:r>
        <w:r w:rsidR="000A544B">
          <w:rPr>
            <w:noProof/>
            <w:webHidden/>
          </w:rPr>
          <w:t>10</w:t>
        </w:r>
        <w:r>
          <w:rPr>
            <w:noProof/>
            <w:webHidden/>
          </w:rPr>
          <w:fldChar w:fldCharType="end"/>
        </w:r>
      </w:hyperlink>
    </w:p>
    <w:p w14:paraId="2801720B" w14:textId="1EB5C33E" w:rsidR="00C26C9E" w:rsidRDefault="00C26C9E">
      <w:pPr>
        <w:pStyle w:val="TM2"/>
        <w:tabs>
          <w:tab w:val="right" w:leader="dot" w:pos="10070"/>
        </w:tabs>
        <w:rPr>
          <w:rFonts w:eastAsiaTheme="minorEastAsia"/>
          <w:noProof/>
          <w:lang w:val="en-US"/>
        </w:rPr>
      </w:pPr>
      <w:hyperlink w:anchor="_Toc213427591" w:history="1">
        <w:r w:rsidRPr="00A10D00">
          <w:rPr>
            <w:rStyle w:val="Lienhypertexte"/>
            <w:noProof/>
            <w:lang w:val="en-US"/>
          </w:rPr>
          <w:t>Transfer Pricing</w:t>
        </w:r>
        <w:r>
          <w:rPr>
            <w:noProof/>
            <w:webHidden/>
          </w:rPr>
          <w:tab/>
        </w:r>
        <w:r>
          <w:rPr>
            <w:noProof/>
            <w:webHidden/>
          </w:rPr>
          <w:fldChar w:fldCharType="begin"/>
        </w:r>
        <w:r>
          <w:rPr>
            <w:noProof/>
            <w:webHidden/>
          </w:rPr>
          <w:instrText xml:space="preserve"> PAGEREF _Toc213427591 \h </w:instrText>
        </w:r>
        <w:r>
          <w:rPr>
            <w:noProof/>
            <w:webHidden/>
          </w:rPr>
        </w:r>
        <w:r>
          <w:rPr>
            <w:noProof/>
            <w:webHidden/>
          </w:rPr>
          <w:fldChar w:fldCharType="separate"/>
        </w:r>
        <w:r w:rsidR="000A544B">
          <w:rPr>
            <w:noProof/>
            <w:webHidden/>
          </w:rPr>
          <w:t>10</w:t>
        </w:r>
        <w:r>
          <w:rPr>
            <w:noProof/>
            <w:webHidden/>
          </w:rPr>
          <w:fldChar w:fldCharType="end"/>
        </w:r>
      </w:hyperlink>
    </w:p>
    <w:p w14:paraId="5A80E63D" w14:textId="0073D24A" w:rsidR="00C26C9E" w:rsidRDefault="00C26C9E">
      <w:pPr>
        <w:pStyle w:val="TM1"/>
        <w:rPr>
          <w:rFonts w:eastAsiaTheme="minorEastAsia"/>
          <w:b w:val="0"/>
          <w:bCs w:val="0"/>
          <w:lang w:val="en-US"/>
        </w:rPr>
      </w:pPr>
      <w:hyperlink w:anchor="_Toc213427592" w:history="1">
        <w:r w:rsidRPr="00A10D00">
          <w:rPr>
            <w:rStyle w:val="Lienhypertexte"/>
            <w:lang w:val="en-US"/>
          </w:rPr>
          <w:t>Sales and Excise Tax Measures</w:t>
        </w:r>
        <w:r>
          <w:rPr>
            <w:webHidden/>
          </w:rPr>
          <w:tab/>
        </w:r>
        <w:r>
          <w:rPr>
            <w:webHidden/>
          </w:rPr>
          <w:fldChar w:fldCharType="begin"/>
        </w:r>
        <w:r>
          <w:rPr>
            <w:webHidden/>
          </w:rPr>
          <w:instrText xml:space="preserve"> PAGEREF _Toc213427592 \h </w:instrText>
        </w:r>
        <w:r>
          <w:rPr>
            <w:webHidden/>
          </w:rPr>
        </w:r>
        <w:r>
          <w:rPr>
            <w:webHidden/>
          </w:rPr>
          <w:fldChar w:fldCharType="separate"/>
        </w:r>
        <w:r w:rsidR="000A544B">
          <w:rPr>
            <w:webHidden/>
          </w:rPr>
          <w:t>12</w:t>
        </w:r>
        <w:r>
          <w:rPr>
            <w:webHidden/>
          </w:rPr>
          <w:fldChar w:fldCharType="end"/>
        </w:r>
      </w:hyperlink>
    </w:p>
    <w:p w14:paraId="1E0D8EA0" w14:textId="03C95537" w:rsidR="00C26C9E" w:rsidRDefault="00C26C9E">
      <w:pPr>
        <w:pStyle w:val="TM2"/>
        <w:tabs>
          <w:tab w:val="right" w:leader="dot" w:pos="10070"/>
        </w:tabs>
        <w:rPr>
          <w:rFonts w:eastAsiaTheme="minorEastAsia"/>
          <w:noProof/>
          <w:lang w:val="en-US"/>
        </w:rPr>
      </w:pPr>
      <w:hyperlink w:anchor="_Toc213427593" w:history="1">
        <w:r w:rsidRPr="00A10D00">
          <w:rPr>
            <w:rStyle w:val="Lienhypertexte"/>
            <w:noProof/>
            <w:lang w:val="en-US"/>
          </w:rPr>
          <w:t>Underused Housing Tax</w:t>
        </w:r>
        <w:r>
          <w:rPr>
            <w:noProof/>
            <w:webHidden/>
          </w:rPr>
          <w:tab/>
        </w:r>
        <w:r>
          <w:rPr>
            <w:noProof/>
            <w:webHidden/>
          </w:rPr>
          <w:fldChar w:fldCharType="begin"/>
        </w:r>
        <w:r>
          <w:rPr>
            <w:noProof/>
            <w:webHidden/>
          </w:rPr>
          <w:instrText xml:space="preserve"> PAGEREF _Toc213427593 \h </w:instrText>
        </w:r>
        <w:r>
          <w:rPr>
            <w:noProof/>
            <w:webHidden/>
          </w:rPr>
        </w:r>
        <w:r>
          <w:rPr>
            <w:noProof/>
            <w:webHidden/>
          </w:rPr>
          <w:fldChar w:fldCharType="separate"/>
        </w:r>
        <w:r w:rsidR="000A544B">
          <w:rPr>
            <w:noProof/>
            <w:webHidden/>
          </w:rPr>
          <w:t>12</w:t>
        </w:r>
        <w:r>
          <w:rPr>
            <w:noProof/>
            <w:webHidden/>
          </w:rPr>
          <w:fldChar w:fldCharType="end"/>
        </w:r>
      </w:hyperlink>
    </w:p>
    <w:p w14:paraId="09254926" w14:textId="13607AAE" w:rsidR="00C26C9E" w:rsidRDefault="00C26C9E">
      <w:pPr>
        <w:pStyle w:val="TM2"/>
        <w:tabs>
          <w:tab w:val="right" w:leader="dot" w:pos="10070"/>
        </w:tabs>
        <w:rPr>
          <w:rFonts w:eastAsiaTheme="minorEastAsia"/>
          <w:noProof/>
          <w:lang w:val="en-US"/>
        </w:rPr>
      </w:pPr>
      <w:hyperlink w:anchor="_Toc213427594" w:history="1">
        <w:r w:rsidRPr="00A10D00">
          <w:rPr>
            <w:rStyle w:val="Lienhypertexte"/>
            <w:noProof/>
            <w:lang w:val="en-US"/>
          </w:rPr>
          <w:t>Luxury Tax on Aircraft and Vessels</w:t>
        </w:r>
        <w:r>
          <w:rPr>
            <w:noProof/>
            <w:webHidden/>
          </w:rPr>
          <w:tab/>
        </w:r>
        <w:r>
          <w:rPr>
            <w:noProof/>
            <w:webHidden/>
          </w:rPr>
          <w:fldChar w:fldCharType="begin"/>
        </w:r>
        <w:r>
          <w:rPr>
            <w:noProof/>
            <w:webHidden/>
          </w:rPr>
          <w:instrText xml:space="preserve"> PAGEREF _Toc213427594 \h </w:instrText>
        </w:r>
        <w:r>
          <w:rPr>
            <w:noProof/>
            <w:webHidden/>
          </w:rPr>
        </w:r>
        <w:r>
          <w:rPr>
            <w:noProof/>
            <w:webHidden/>
          </w:rPr>
          <w:fldChar w:fldCharType="separate"/>
        </w:r>
        <w:r w:rsidR="000A544B">
          <w:rPr>
            <w:noProof/>
            <w:webHidden/>
          </w:rPr>
          <w:t>12</w:t>
        </w:r>
        <w:r>
          <w:rPr>
            <w:noProof/>
            <w:webHidden/>
          </w:rPr>
          <w:fldChar w:fldCharType="end"/>
        </w:r>
      </w:hyperlink>
    </w:p>
    <w:p w14:paraId="7673F30B" w14:textId="345B3C9B" w:rsidR="00C26C9E" w:rsidRDefault="00C26C9E">
      <w:pPr>
        <w:pStyle w:val="TM2"/>
        <w:tabs>
          <w:tab w:val="right" w:leader="dot" w:pos="10070"/>
        </w:tabs>
        <w:rPr>
          <w:rFonts w:eastAsiaTheme="minorEastAsia"/>
          <w:noProof/>
          <w:lang w:val="en-US"/>
        </w:rPr>
      </w:pPr>
      <w:hyperlink w:anchor="_Toc213427595" w:history="1">
        <w:r w:rsidRPr="00A10D00">
          <w:rPr>
            <w:rStyle w:val="Lienhypertexte"/>
            <w:noProof/>
            <w:lang w:val="en-US"/>
          </w:rPr>
          <w:t>Carousel Fraud</w:t>
        </w:r>
        <w:r>
          <w:rPr>
            <w:noProof/>
            <w:webHidden/>
          </w:rPr>
          <w:tab/>
        </w:r>
        <w:r>
          <w:rPr>
            <w:noProof/>
            <w:webHidden/>
          </w:rPr>
          <w:fldChar w:fldCharType="begin"/>
        </w:r>
        <w:r>
          <w:rPr>
            <w:noProof/>
            <w:webHidden/>
          </w:rPr>
          <w:instrText xml:space="preserve"> PAGEREF _Toc213427595 \h </w:instrText>
        </w:r>
        <w:r>
          <w:rPr>
            <w:noProof/>
            <w:webHidden/>
          </w:rPr>
        </w:r>
        <w:r>
          <w:rPr>
            <w:noProof/>
            <w:webHidden/>
          </w:rPr>
          <w:fldChar w:fldCharType="separate"/>
        </w:r>
        <w:r w:rsidR="000A544B">
          <w:rPr>
            <w:noProof/>
            <w:webHidden/>
          </w:rPr>
          <w:t>12</w:t>
        </w:r>
        <w:r>
          <w:rPr>
            <w:noProof/>
            <w:webHidden/>
          </w:rPr>
          <w:fldChar w:fldCharType="end"/>
        </w:r>
      </w:hyperlink>
    </w:p>
    <w:p w14:paraId="593FEEB2" w14:textId="0AD4FD58" w:rsidR="00C26C9E" w:rsidRDefault="00C26C9E">
      <w:pPr>
        <w:pStyle w:val="TM2"/>
        <w:tabs>
          <w:tab w:val="right" w:leader="dot" w:pos="10070"/>
        </w:tabs>
        <w:rPr>
          <w:rFonts w:eastAsiaTheme="minorEastAsia"/>
          <w:noProof/>
          <w:lang w:val="en-US"/>
        </w:rPr>
      </w:pPr>
      <w:hyperlink w:anchor="_Toc213427596" w:history="1">
        <w:r w:rsidRPr="00A10D00">
          <w:rPr>
            <w:rStyle w:val="Lienhypertexte"/>
            <w:noProof/>
            <w:lang w:val="en-US"/>
          </w:rPr>
          <w:t>GST/HST Treatment of Manual Osteopathic Services</w:t>
        </w:r>
        <w:r>
          <w:rPr>
            <w:noProof/>
            <w:webHidden/>
          </w:rPr>
          <w:tab/>
        </w:r>
        <w:r>
          <w:rPr>
            <w:noProof/>
            <w:webHidden/>
          </w:rPr>
          <w:fldChar w:fldCharType="begin"/>
        </w:r>
        <w:r>
          <w:rPr>
            <w:noProof/>
            <w:webHidden/>
          </w:rPr>
          <w:instrText xml:space="preserve"> PAGEREF _Toc213427596 \h </w:instrText>
        </w:r>
        <w:r>
          <w:rPr>
            <w:noProof/>
            <w:webHidden/>
          </w:rPr>
        </w:r>
        <w:r>
          <w:rPr>
            <w:noProof/>
            <w:webHidden/>
          </w:rPr>
          <w:fldChar w:fldCharType="separate"/>
        </w:r>
        <w:r w:rsidR="000A544B">
          <w:rPr>
            <w:noProof/>
            <w:webHidden/>
          </w:rPr>
          <w:t>13</w:t>
        </w:r>
        <w:r>
          <w:rPr>
            <w:noProof/>
            <w:webHidden/>
          </w:rPr>
          <w:fldChar w:fldCharType="end"/>
        </w:r>
      </w:hyperlink>
    </w:p>
    <w:p w14:paraId="04B50CB1" w14:textId="50F2A3CA" w:rsidR="00C26C9E" w:rsidRDefault="00C26C9E">
      <w:pPr>
        <w:pStyle w:val="TM2"/>
        <w:tabs>
          <w:tab w:val="right" w:leader="dot" w:pos="10070"/>
        </w:tabs>
        <w:rPr>
          <w:rFonts w:eastAsiaTheme="minorEastAsia"/>
          <w:noProof/>
          <w:lang w:val="en-US"/>
        </w:rPr>
      </w:pPr>
      <w:hyperlink w:anchor="_Toc213427597" w:history="1">
        <w:r w:rsidRPr="00A10D00">
          <w:rPr>
            <w:rStyle w:val="Lienhypertexte"/>
            <w:noProof/>
            <w:lang w:val="en-US"/>
          </w:rPr>
          <w:t>Eliminating the Goods and Services Tax (GST) for First-Time Home Buyers</w:t>
        </w:r>
        <w:r>
          <w:rPr>
            <w:noProof/>
            <w:webHidden/>
          </w:rPr>
          <w:tab/>
        </w:r>
        <w:r>
          <w:rPr>
            <w:noProof/>
            <w:webHidden/>
          </w:rPr>
          <w:fldChar w:fldCharType="begin"/>
        </w:r>
        <w:r>
          <w:rPr>
            <w:noProof/>
            <w:webHidden/>
          </w:rPr>
          <w:instrText xml:space="preserve"> PAGEREF _Toc213427597 \h </w:instrText>
        </w:r>
        <w:r>
          <w:rPr>
            <w:noProof/>
            <w:webHidden/>
          </w:rPr>
        </w:r>
        <w:r>
          <w:rPr>
            <w:noProof/>
            <w:webHidden/>
          </w:rPr>
          <w:fldChar w:fldCharType="separate"/>
        </w:r>
        <w:r w:rsidR="000A544B">
          <w:rPr>
            <w:noProof/>
            <w:webHidden/>
          </w:rPr>
          <w:t>13</w:t>
        </w:r>
        <w:r>
          <w:rPr>
            <w:noProof/>
            <w:webHidden/>
          </w:rPr>
          <w:fldChar w:fldCharType="end"/>
        </w:r>
      </w:hyperlink>
    </w:p>
    <w:p w14:paraId="30B4969A" w14:textId="2E271AE6" w:rsidR="00C26C9E" w:rsidRDefault="00C26C9E">
      <w:pPr>
        <w:pStyle w:val="TM1"/>
        <w:rPr>
          <w:rFonts w:eastAsiaTheme="minorEastAsia"/>
          <w:b w:val="0"/>
          <w:bCs w:val="0"/>
          <w:lang w:val="en-US"/>
        </w:rPr>
      </w:pPr>
      <w:hyperlink w:anchor="_Toc213427598" w:history="1">
        <w:r w:rsidRPr="00A10D00">
          <w:rPr>
            <w:rStyle w:val="Lienhypertexte"/>
            <w:lang w:val="en-US"/>
          </w:rPr>
          <w:t>Previously Announced Measures</w:t>
        </w:r>
        <w:r>
          <w:rPr>
            <w:webHidden/>
          </w:rPr>
          <w:tab/>
        </w:r>
        <w:r>
          <w:rPr>
            <w:webHidden/>
          </w:rPr>
          <w:fldChar w:fldCharType="begin"/>
        </w:r>
        <w:r>
          <w:rPr>
            <w:webHidden/>
          </w:rPr>
          <w:instrText xml:space="preserve"> PAGEREF _Toc213427598 \h </w:instrText>
        </w:r>
        <w:r>
          <w:rPr>
            <w:webHidden/>
          </w:rPr>
        </w:r>
        <w:r>
          <w:rPr>
            <w:webHidden/>
          </w:rPr>
          <w:fldChar w:fldCharType="separate"/>
        </w:r>
        <w:r w:rsidR="000A544B">
          <w:rPr>
            <w:webHidden/>
          </w:rPr>
          <w:t>13</w:t>
        </w:r>
        <w:r>
          <w:rPr>
            <w:webHidden/>
          </w:rPr>
          <w:fldChar w:fldCharType="end"/>
        </w:r>
      </w:hyperlink>
    </w:p>
    <w:p w14:paraId="6312557E" w14:textId="1B02638B" w:rsidR="000F236C" w:rsidRDefault="000F236C" w:rsidP="00103299">
      <w:pPr>
        <w:jc w:val="both"/>
        <w:rPr>
          <w:rFonts w:ascii="Times New Roman" w:hAnsi="Times New Roman" w:cs="Times New Roman"/>
          <w:b/>
          <w:bCs/>
          <w:color w:val="C00000"/>
          <w:sz w:val="28"/>
          <w:szCs w:val="28"/>
        </w:rPr>
      </w:pPr>
      <w:r>
        <w:rPr>
          <w:rFonts w:ascii="Times New Roman" w:hAnsi="Times New Roman" w:cs="Times New Roman"/>
          <w:b/>
          <w:bCs/>
          <w:color w:val="C00000"/>
          <w:sz w:val="28"/>
          <w:szCs w:val="28"/>
        </w:rPr>
        <w:fldChar w:fldCharType="end"/>
      </w:r>
    </w:p>
    <w:p w14:paraId="35C31BB0" w14:textId="35405CCF" w:rsidR="007B760E" w:rsidRDefault="007B760E" w:rsidP="00103299">
      <w:pPr>
        <w:jc w:val="both"/>
        <w:rPr>
          <w:rFonts w:ascii="Times New Roman" w:hAnsi="Times New Roman" w:cs="Times New Roman"/>
          <w:b/>
          <w:bCs/>
          <w:color w:val="C00000"/>
          <w:sz w:val="28"/>
          <w:szCs w:val="28"/>
        </w:rPr>
      </w:pPr>
      <w:r>
        <w:rPr>
          <w:rFonts w:ascii="Times New Roman" w:hAnsi="Times New Roman" w:cs="Times New Roman"/>
          <w:b/>
          <w:bCs/>
          <w:color w:val="C00000"/>
          <w:sz w:val="28"/>
          <w:szCs w:val="28"/>
        </w:rPr>
        <w:br w:type="page"/>
      </w:r>
    </w:p>
    <w:p w14:paraId="582E120F" w14:textId="7FE7B4BA" w:rsidR="002A3CE1" w:rsidRPr="00DB6501" w:rsidRDefault="007B760E" w:rsidP="00103299">
      <w:pPr>
        <w:pStyle w:val="Titre1"/>
        <w:jc w:val="both"/>
        <w:rPr>
          <w:lang w:val="en-US"/>
        </w:rPr>
      </w:pPr>
      <w:bookmarkStart w:id="2" w:name="_Toc213427574"/>
      <w:r w:rsidRPr="00DB6501">
        <w:rPr>
          <w:lang w:val="en-US"/>
        </w:rPr>
        <w:lastRenderedPageBreak/>
        <w:t>Personal Income Tax Measures</w:t>
      </w:r>
      <w:bookmarkEnd w:id="2"/>
    </w:p>
    <w:p w14:paraId="1D8F0461" w14:textId="52CA2300" w:rsidR="00731A9E" w:rsidRDefault="007B760E" w:rsidP="00103299">
      <w:pPr>
        <w:jc w:val="both"/>
        <w:rPr>
          <w:rStyle w:val="Titre2Car"/>
          <w:lang w:val="en-US"/>
        </w:rPr>
      </w:pPr>
      <w:bookmarkStart w:id="3" w:name="_Toc213427575"/>
      <w:r w:rsidRPr="00D1495B">
        <w:rPr>
          <w:rStyle w:val="Titre2Car"/>
          <w:lang w:val="en-US"/>
        </w:rPr>
        <w:t xml:space="preserve">Reduction of the </w:t>
      </w:r>
      <w:r w:rsidR="009D5A64">
        <w:rPr>
          <w:rStyle w:val="Titre2Car"/>
          <w:lang w:val="en-US"/>
        </w:rPr>
        <w:t xml:space="preserve">Personal income tax rate of the first </w:t>
      </w:r>
      <w:r w:rsidR="00D51C79">
        <w:rPr>
          <w:rStyle w:val="Titre2Car"/>
          <w:lang w:val="en-US"/>
        </w:rPr>
        <w:t xml:space="preserve">income </w:t>
      </w:r>
      <w:r w:rsidR="009D5A64">
        <w:rPr>
          <w:rStyle w:val="Titre2Car"/>
          <w:lang w:val="en-US"/>
        </w:rPr>
        <w:t>b</w:t>
      </w:r>
      <w:r w:rsidRPr="00D1495B">
        <w:rPr>
          <w:rStyle w:val="Titre2Car"/>
          <w:lang w:val="en-US"/>
        </w:rPr>
        <w:t>racket</w:t>
      </w:r>
      <w:bookmarkEnd w:id="3"/>
      <w:r w:rsidR="00C913F5">
        <w:rPr>
          <w:rStyle w:val="Titre2Car"/>
          <w:lang w:val="en-US"/>
        </w:rPr>
        <w:t xml:space="preserve"> </w:t>
      </w:r>
    </w:p>
    <w:p w14:paraId="1A13B97E" w14:textId="66A75D95" w:rsidR="00D1495B" w:rsidRPr="006E4CC5" w:rsidRDefault="008F71EA" w:rsidP="008F71EA">
      <w:pPr>
        <w:jc w:val="both"/>
        <w:rPr>
          <w:lang w:val="en-CA"/>
        </w:rPr>
      </w:pPr>
      <w:bookmarkStart w:id="4" w:name="_Toc213322398"/>
      <w:bookmarkStart w:id="5" w:name="_Toc213327135"/>
      <w:r w:rsidRPr="008F71EA">
        <w:rPr>
          <w:lang w:val="en-US"/>
        </w:rPr>
        <w:t>As</w:t>
      </w:r>
      <w:r>
        <w:rPr>
          <w:lang w:val="en-US"/>
        </w:rPr>
        <w:t xml:space="preserve"> announced in May 2025, as part of the tabling of Bill C-4, t</w:t>
      </w:r>
      <w:r w:rsidR="00D1495B" w:rsidRPr="008F71EA">
        <w:rPr>
          <w:lang w:val="en-US"/>
        </w:rPr>
        <w:t xml:space="preserve">he first federal personal income tax bracket </w:t>
      </w:r>
      <w:r>
        <w:rPr>
          <w:lang w:val="en-US"/>
        </w:rPr>
        <w:t xml:space="preserve">was proposed to </w:t>
      </w:r>
      <w:r w:rsidR="00D1495B" w:rsidRPr="008F71EA">
        <w:rPr>
          <w:lang w:val="en-US"/>
        </w:rPr>
        <w:t xml:space="preserve">be reduced from 15% to 14%, effective July 1, 2025, for taxable income up to $57,375. </w:t>
      </w:r>
      <w:r w:rsidR="00D1495B" w:rsidRPr="006E4CC5">
        <w:rPr>
          <w:lang w:val="en-CA"/>
        </w:rPr>
        <w:t>For the 2025 taxation year, the effective blended rate w</w:t>
      </w:r>
      <w:r w:rsidR="00103299" w:rsidRPr="006E4CC5">
        <w:rPr>
          <w:lang w:val="en-CA"/>
        </w:rPr>
        <w:t>ould</w:t>
      </w:r>
      <w:r w:rsidR="00D1495B" w:rsidRPr="006E4CC5">
        <w:rPr>
          <w:lang w:val="en-CA"/>
        </w:rPr>
        <w:t xml:space="preserve"> be 14.5%, reverting to the full 14% rate </w:t>
      </w:r>
      <w:r w:rsidR="00BC0637" w:rsidRPr="006E4CC5">
        <w:rPr>
          <w:lang w:val="en-CA"/>
        </w:rPr>
        <w:t>as of</w:t>
      </w:r>
      <w:r w:rsidR="00D1495B" w:rsidRPr="006E4CC5">
        <w:rPr>
          <w:lang w:val="en-CA"/>
        </w:rPr>
        <w:t xml:space="preserve"> 2026.</w:t>
      </w:r>
      <w:bookmarkEnd w:id="4"/>
      <w:bookmarkEnd w:id="5"/>
      <w:r w:rsidR="00D1495B" w:rsidRPr="006E4CC5">
        <w:rPr>
          <w:lang w:val="en-CA"/>
        </w:rPr>
        <w:t xml:space="preserve"> </w:t>
      </w:r>
    </w:p>
    <w:p w14:paraId="24B1A58E" w14:textId="1E4D6476" w:rsidR="00813CA2" w:rsidRPr="006E4CC5" w:rsidRDefault="00D1495B" w:rsidP="00172F24">
      <w:pPr>
        <w:rPr>
          <w:lang w:val="en-CA"/>
        </w:rPr>
      </w:pPr>
      <w:bookmarkStart w:id="6" w:name="_Toc213322399"/>
      <w:bookmarkStart w:id="7" w:name="_Toc213327136"/>
      <w:r w:rsidRPr="006E4CC5">
        <w:rPr>
          <w:lang w:val="en-CA"/>
        </w:rPr>
        <w:t>This change is expected to result in average tax savings of approximately $200 per taxpayer.</w:t>
      </w:r>
      <w:bookmarkEnd w:id="6"/>
      <w:bookmarkEnd w:id="7"/>
    </w:p>
    <w:p w14:paraId="460C9A72" w14:textId="2C17C2AF" w:rsidR="00D1495B" w:rsidRPr="006E4CC5" w:rsidRDefault="00BC0637" w:rsidP="00172F24">
      <w:pPr>
        <w:rPr>
          <w:b/>
          <w:lang w:val="en-CA"/>
        </w:rPr>
      </w:pPr>
      <w:r w:rsidRPr="00EF112A">
        <w:rPr>
          <w:lang w:val="en-US"/>
        </w:rPr>
        <w:t>The income tax rates for 202</w:t>
      </w:r>
      <w:r w:rsidR="00F25381" w:rsidRPr="00EF112A">
        <w:rPr>
          <w:lang w:val="en-US"/>
        </w:rPr>
        <w:t>5</w:t>
      </w:r>
      <w:r w:rsidR="00D8463C" w:rsidRPr="00EF112A">
        <w:rPr>
          <w:lang w:val="en-US"/>
        </w:rPr>
        <w:t xml:space="preserve"> and 2026</w:t>
      </w:r>
      <w:r w:rsidRPr="00EF112A">
        <w:rPr>
          <w:lang w:val="en-US"/>
        </w:rPr>
        <w:t xml:space="preserve">, based on your taxable income, </w:t>
      </w:r>
      <w:r w:rsidR="00132973" w:rsidRPr="00EF112A">
        <w:rPr>
          <w:lang w:val="en-US"/>
        </w:rPr>
        <w:t>are</w:t>
      </w:r>
      <w:r w:rsidRPr="00EF112A">
        <w:rPr>
          <w:lang w:val="en-US"/>
        </w:rPr>
        <w:t xml:space="preserve"> as follows:</w:t>
      </w:r>
    </w:p>
    <w:tbl>
      <w:tblPr>
        <w:tblW w:w="9413" w:type="dxa"/>
        <w:shd w:val="clear" w:color="auto" w:fill="FFFFFF"/>
        <w:tblCellMar>
          <w:left w:w="0" w:type="dxa"/>
          <w:right w:w="0" w:type="dxa"/>
        </w:tblCellMar>
        <w:tblLook w:val="04A0" w:firstRow="1" w:lastRow="0" w:firstColumn="1" w:lastColumn="0" w:noHBand="0" w:noVBand="1"/>
      </w:tblPr>
      <w:tblGrid>
        <w:gridCol w:w="5237"/>
        <w:gridCol w:w="2088"/>
        <w:gridCol w:w="2088"/>
      </w:tblGrid>
      <w:tr w:rsidR="00132973" w:rsidRPr="00813CA2" w14:paraId="7CDE8840" w14:textId="075FEFE4" w:rsidTr="00132973">
        <w:trPr>
          <w:trHeight w:val="20"/>
          <w:tblHeader/>
        </w:trPr>
        <w:tc>
          <w:tcPr>
            <w:tcW w:w="5237"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5FF9B554" w14:textId="77777777" w:rsidR="00132973" w:rsidRPr="00813CA2" w:rsidRDefault="00132973" w:rsidP="00103299">
            <w:pPr>
              <w:spacing w:after="0"/>
              <w:jc w:val="both"/>
              <w:rPr>
                <w:noProof/>
              </w:rPr>
            </w:pPr>
            <w:r w:rsidRPr="00813CA2">
              <w:rPr>
                <w:b/>
                <w:bCs/>
                <w:noProof/>
              </w:rPr>
              <w:t>Taxable income</w:t>
            </w:r>
          </w:p>
        </w:tc>
        <w:tc>
          <w:tcPr>
            <w:tcW w:w="208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09AE401F" w14:textId="1F1AC84F" w:rsidR="00132973" w:rsidRPr="00813CA2" w:rsidRDefault="00132973" w:rsidP="003D5DE6">
            <w:pPr>
              <w:spacing w:after="0"/>
              <w:jc w:val="center"/>
              <w:rPr>
                <w:b/>
                <w:bCs/>
                <w:noProof/>
              </w:rPr>
            </w:pPr>
            <w:r w:rsidRPr="00132973">
              <w:rPr>
                <w:b/>
                <w:bCs/>
                <w:noProof/>
              </w:rPr>
              <w:t>2025 Rate</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0682B714" w14:textId="4EE2F8DB" w:rsidR="00132973" w:rsidRPr="00132973" w:rsidRDefault="00132973" w:rsidP="00C913F5">
            <w:pPr>
              <w:spacing w:after="0"/>
              <w:jc w:val="center"/>
              <w:rPr>
                <w:b/>
                <w:bCs/>
                <w:noProof/>
              </w:rPr>
            </w:pPr>
            <w:r>
              <w:rPr>
                <w:b/>
                <w:bCs/>
                <w:noProof/>
              </w:rPr>
              <w:t>2026 Rate</w:t>
            </w:r>
          </w:p>
        </w:tc>
      </w:tr>
      <w:tr w:rsidR="00132973" w:rsidRPr="00813CA2" w14:paraId="1811B26E" w14:textId="5A7DC1BC" w:rsidTr="00132973">
        <w:trPr>
          <w:trHeight w:val="20"/>
        </w:trPr>
        <w:tc>
          <w:tcPr>
            <w:tcW w:w="5237"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001DF8CA" w14:textId="2542D1C5" w:rsidR="00132973" w:rsidRPr="00813CA2" w:rsidRDefault="008B3AE8" w:rsidP="00103299">
            <w:pPr>
              <w:spacing w:after="0"/>
              <w:jc w:val="both"/>
              <w:rPr>
                <w:noProof/>
              </w:rPr>
            </w:pPr>
            <w:r>
              <w:rPr>
                <w:noProof/>
              </w:rPr>
              <w:t>Up to $57,375</w:t>
            </w:r>
          </w:p>
        </w:tc>
        <w:tc>
          <w:tcPr>
            <w:tcW w:w="208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18DE027A" w14:textId="1E6626E6" w:rsidR="00132973" w:rsidRPr="00813CA2" w:rsidRDefault="00132973" w:rsidP="003D5DE6">
            <w:pPr>
              <w:spacing w:after="0"/>
              <w:jc w:val="center"/>
              <w:rPr>
                <w:noProof/>
              </w:rPr>
            </w:pPr>
            <w:r w:rsidRPr="00813CA2">
              <w:rPr>
                <w:noProof/>
              </w:rPr>
              <w:t>1</w:t>
            </w:r>
            <w:r>
              <w:rPr>
                <w:noProof/>
              </w:rPr>
              <w:t>4</w:t>
            </w:r>
            <w:r w:rsidRPr="00813CA2">
              <w:rPr>
                <w:noProof/>
              </w:rPr>
              <w:t>.</w:t>
            </w:r>
            <w:r>
              <w:rPr>
                <w:noProof/>
              </w:rPr>
              <w:t>5</w:t>
            </w:r>
            <w:r w:rsidRPr="00813CA2">
              <w:rPr>
                <w:noProof/>
              </w:rPr>
              <w:t xml:space="preserve"> %</w:t>
            </w:r>
            <w:r>
              <w:rPr>
                <w:noProof/>
              </w:rPr>
              <w:t xml:space="preserve"> (proposed)</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257E38CB" w14:textId="03959155" w:rsidR="00132973" w:rsidRPr="00813CA2" w:rsidRDefault="00132973" w:rsidP="00C913F5">
            <w:pPr>
              <w:spacing w:after="0"/>
              <w:jc w:val="center"/>
              <w:rPr>
                <w:noProof/>
              </w:rPr>
            </w:pPr>
            <w:r>
              <w:rPr>
                <w:noProof/>
              </w:rPr>
              <w:t>14.0</w:t>
            </w:r>
            <w:r w:rsidR="008B3AE8">
              <w:rPr>
                <w:noProof/>
              </w:rPr>
              <w:t xml:space="preserve"> % (proposed)</w:t>
            </w:r>
          </w:p>
        </w:tc>
      </w:tr>
      <w:tr w:rsidR="00103299" w:rsidRPr="00813CA2" w14:paraId="1084E004" w14:textId="7016CE08" w:rsidTr="006217DE">
        <w:trPr>
          <w:trHeight w:val="20"/>
        </w:trPr>
        <w:tc>
          <w:tcPr>
            <w:tcW w:w="5237"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79F6D8F7" w14:textId="43FA8268" w:rsidR="00103299" w:rsidRPr="00813CA2" w:rsidRDefault="00103299" w:rsidP="00103299">
            <w:pPr>
              <w:spacing w:after="0"/>
              <w:jc w:val="both"/>
              <w:rPr>
                <w:noProof/>
                <w:lang w:val="en-US"/>
              </w:rPr>
            </w:pPr>
            <w:r w:rsidRPr="00813CA2">
              <w:rPr>
                <w:noProof/>
                <w:lang w:val="en-US"/>
              </w:rPr>
              <w:t>More than $5</w:t>
            </w:r>
            <w:r w:rsidRPr="00103299">
              <w:rPr>
                <w:noProof/>
                <w:lang w:val="en-US"/>
              </w:rPr>
              <w:t>7,376</w:t>
            </w:r>
            <w:r w:rsidRPr="00813CA2">
              <w:rPr>
                <w:noProof/>
                <w:lang w:val="en-US"/>
              </w:rPr>
              <w:t xml:space="preserve"> but not more than $11</w:t>
            </w:r>
            <w:r w:rsidRPr="00103299">
              <w:rPr>
                <w:noProof/>
                <w:lang w:val="en-US"/>
              </w:rPr>
              <w:t>4,750</w:t>
            </w:r>
          </w:p>
        </w:tc>
        <w:tc>
          <w:tcPr>
            <w:tcW w:w="208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0DEE782C" w14:textId="5FACEC70" w:rsidR="00103299" w:rsidRPr="00813CA2" w:rsidRDefault="00103299" w:rsidP="003D5DE6">
            <w:pPr>
              <w:spacing w:after="0"/>
              <w:jc w:val="center"/>
              <w:rPr>
                <w:noProof/>
              </w:rPr>
            </w:pPr>
            <w:r w:rsidRPr="00813CA2">
              <w:rPr>
                <w:noProof/>
              </w:rPr>
              <w:t>20.5 %</w:t>
            </w:r>
          </w:p>
        </w:tc>
        <w:tc>
          <w:tcPr>
            <w:tcW w:w="2088" w:type="dxa"/>
            <w:tcBorders>
              <w:top w:val="single" w:sz="6" w:space="0" w:color="auto"/>
              <w:left w:val="single" w:sz="6" w:space="0" w:color="auto"/>
              <w:bottom w:val="single" w:sz="6" w:space="0" w:color="auto"/>
              <w:right w:val="single" w:sz="6" w:space="0" w:color="auto"/>
            </w:tcBorders>
            <w:shd w:val="clear" w:color="auto" w:fill="FFFFFF"/>
            <w:vAlign w:val="bottom"/>
          </w:tcPr>
          <w:p w14:paraId="35EAF4A7" w14:textId="6197D658" w:rsidR="00103299" w:rsidRPr="00813CA2" w:rsidRDefault="00103299" w:rsidP="00C913F5">
            <w:pPr>
              <w:spacing w:after="0"/>
              <w:jc w:val="center"/>
              <w:rPr>
                <w:noProof/>
              </w:rPr>
            </w:pPr>
            <w:r w:rsidRPr="00813CA2">
              <w:rPr>
                <w:noProof/>
              </w:rPr>
              <w:t>20.5 %</w:t>
            </w:r>
          </w:p>
        </w:tc>
      </w:tr>
      <w:tr w:rsidR="00103299" w:rsidRPr="00813CA2" w14:paraId="65057393" w14:textId="2D219593" w:rsidTr="006217DE">
        <w:trPr>
          <w:trHeight w:val="20"/>
        </w:trPr>
        <w:tc>
          <w:tcPr>
            <w:tcW w:w="5237"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5492BD7D" w14:textId="62602331" w:rsidR="00103299" w:rsidRPr="00813CA2" w:rsidRDefault="00103299" w:rsidP="00103299">
            <w:pPr>
              <w:spacing w:after="0"/>
              <w:jc w:val="both"/>
              <w:rPr>
                <w:noProof/>
                <w:lang w:val="en-US"/>
              </w:rPr>
            </w:pPr>
            <w:r w:rsidRPr="00813CA2">
              <w:rPr>
                <w:noProof/>
                <w:lang w:val="en-US"/>
              </w:rPr>
              <w:t>More than $11</w:t>
            </w:r>
            <w:r w:rsidRPr="00103299">
              <w:rPr>
                <w:noProof/>
                <w:lang w:val="en-US"/>
              </w:rPr>
              <w:t>4,750</w:t>
            </w:r>
            <w:r w:rsidRPr="00813CA2">
              <w:rPr>
                <w:noProof/>
                <w:lang w:val="en-US"/>
              </w:rPr>
              <w:t xml:space="preserve"> but not more than $17</w:t>
            </w:r>
            <w:r w:rsidRPr="00103299">
              <w:rPr>
                <w:noProof/>
                <w:lang w:val="en-US"/>
              </w:rPr>
              <w:t>7,882</w:t>
            </w:r>
          </w:p>
        </w:tc>
        <w:tc>
          <w:tcPr>
            <w:tcW w:w="208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1C7C3B8E" w14:textId="07F77502" w:rsidR="00103299" w:rsidRPr="00813CA2" w:rsidRDefault="00103299" w:rsidP="003D5DE6">
            <w:pPr>
              <w:spacing w:after="0"/>
              <w:jc w:val="center"/>
              <w:rPr>
                <w:noProof/>
              </w:rPr>
            </w:pPr>
            <w:r w:rsidRPr="00813CA2">
              <w:rPr>
                <w:noProof/>
              </w:rPr>
              <w:t>26.0 %</w:t>
            </w:r>
          </w:p>
        </w:tc>
        <w:tc>
          <w:tcPr>
            <w:tcW w:w="2088" w:type="dxa"/>
            <w:tcBorders>
              <w:top w:val="single" w:sz="6" w:space="0" w:color="auto"/>
              <w:left w:val="single" w:sz="6" w:space="0" w:color="auto"/>
              <w:bottom w:val="single" w:sz="6" w:space="0" w:color="auto"/>
              <w:right w:val="single" w:sz="6" w:space="0" w:color="auto"/>
            </w:tcBorders>
            <w:shd w:val="clear" w:color="auto" w:fill="FFFFFF"/>
            <w:vAlign w:val="bottom"/>
          </w:tcPr>
          <w:p w14:paraId="7C73F74C" w14:textId="1906C88F" w:rsidR="00103299" w:rsidRPr="00813CA2" w:rsidRDefault="00103299" w:rsidP="00C913F5">
            <w:pPr>
              <w:spacing w:after="0"/>
              <w:jc w:val="center"/>
              <w:rPr>
                <w:noProof/>
              </w:rPr>
            </w:pPr>
            <w:r w:rsidRPr="00813CA2">
              <w:rPr>
                <w:noProof/>
              </w:rPr>
              <w:t>26.0 %</w:t>
            </w:r>
          </w:p>
        </w:tc>
      </w:tr>
      <w:tr w:rsidR="00103299" w:rsidRPr="00813CA2" w14:paraId="583097AA" w14:textId="45C5F935" w:rsidTr="006217DE">
        <w:trPr>
          <w:trHeight w:val="20"/>
        </w:trPr>
        <w:tc>
          <w:tcPr>
            <w:tcW w:w="5237"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1D2FC910" w14:textId="03297863" w:rsidR="00103299" w:rsidRPr="00813CA2" w:rsidRDefault="00103299" w:rsidP="00103299">
            <w:pPr>
              <w:spacing w:after="0"/>
              <w:jc w:val="both"/>
              <w:rPr>
                <w:noProof/>
                <w:lang w:val="en-US"/>
              </w:rPr>
            </w:pPr>
            <w:r w:rsidRPr="00813CA2">
              <w:rPr>
                <w:noProof/>
                <w:lang w:val="en-US"/>
              </w:rPr>
              <w:t>More than $173,</w:t>
            </w:r>
            <w:r w:rsidRPr="00103299">
              <w:rPr>
                <w:noProof/>
                <w:lang w:val="en-US"/>
              </w:rPr>
              <w:t>882</w:t>
            </w:r>
            <w:r w:rsidRPr="00813CA2">
              <w:rPr>
                <w:noProof/>
                <w:lang w:val="en-US"/>
              </w:rPr>
              <w:t xml:space="preserve"> but not more than $</w:t>
            </w:r>
            <w:r w:rsidRPr="00103299">
              <w:rPr>
                <w:noProof/>
                <w:lang w:val="en-US"/>
              </w:rPr>
              <w:t>253,414</w:t>
            </w:r>
          </w:p>
        </w:tc>
        <w:tc>
          <w:tcPr>
            <w:tcW w:w="208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4D412B8D" w14:textId="3B508BEB" w:rsidR="00103299" w:rsidRPr="00813CA2" w:rsidRDefault="00103299" w:rsidP="003D5DE6">
            <w:pPr>
              <w:spacing w:after="0"/>
              <w:jc w:val="center"/>
              <w:rPr>
                <w:noProof/>
              </w:rPr>
            </w:pPr>
            <w:r w:rsidRPr="00813CA2">
              <w:rPr>
                <w:noProof/>
              </w:rPr>
              <w:t>29.0 %</w:t>
            </w:r>
          </w:p>
        </w:tc>
        <w:tc>
          <w:tcPr>
            <w:tcW w:w="2088" w:type="dxa"/>
            <w:tcBorders>
              <w:top w:val="single" w:sz="6" w:space="0" w:color="auto"/>
              <w:left w:val="single" w:sz="6" w:space="0" w:color="auto"/>
              <w:bottom w:val="single" w:sz="6" w:space="0" w:color="auto"/>
              <w:right w:val="single" w:sz="6" w:space="0" w:color="auto"/>
            </w:tcBorders>
            <w:shd w:val="clear" w:color="auto" w:fill="FFFFFF"/>
            <w:vAlign w:val="bottom"/>
          </w:tcPr>
          <w:p w14:paraId="56F64171" w14:textId="3448E094" w:rsidR="00103299" w:rsidRPr="00813CA2" w:rsidRDefault="00103299" w:rsidP="00C913F5">
            <w:pPr>
              <w:spacing w:after="0"/>
              <w:jc w:val="center"/>
              <w:rPr>
                <w:noProof/>
              </w:rPr>
            </w:pPr>
            <w:r w:rsidRPr="00813CA2">
              <w:rPr>
                <w:noProof/>
              </w:rPr>
              <w:t>29.0 %</w:t>
            </w:r>
          </w:p>
        </w:tc>
      </w:tr>
      <w:tr w:rsidR="00103299" w:rsidRPr="00813CA2" w14:paraId="5922B76C" w14:textId="1A34DFB9" w:rsidTr="006217DE">
        <w:trPr>
          <w:trHeight w:val="20"/>
        </w:trPr>
        <w:tc>
          <w:tcPr>
            <w:tcW w:w="5237"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5B372D9F" w14:textId="6F112B7E" w:rsidR="00103299" w:rsidRPr="00813CA2" w:rsidRDefault="00103299" w:rsidP="00103299">
            <w:pPr>
              <w:spacing w:after="0"/>
              <w:jc w:val="both"/>
              <w:rPr>
                <w:noProof/>
              </w:rPr>
            </w:pPr>
            <w:r w:rsidRPr="00813CA2">
              <w:rPr>
                <w:noProof/>
              </w:rPr>
              <w:t>More than $2</w:t>
            </w:r>
            <w:r w:rsidRPr="00103299">
              <w:rPr>
                <w:noProof/>
              </w:rPr>
              <w:t>53,414</w:t>
            </w:r>
          </w:p>
        </w:tc>
        <w:tc>
          <w:tcPr>
            <w:tcW w:w="2088" w:type="dxa"/>
            <w:tcBorders>
              <w:top w:val="single" w:sz="6" w:space="0" w:color="auto"/>
              <w:left w:val="single" w:sz="6"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6EDE16EF" w14:textId="1C148712" w:rsidR="00103299" w:rsidRPr="00813CA2" w:rsidRDefault="00103299" w:rsidP="003D5DE6">
            <w:pPr>
              <w:spacing w:after="0"/>
              <w:jc w:val="center"/>
              <w:rPr>
                <w:noProof/>
              </w:rPr>
            </w:pPr>
            <w:r w:rsidRPr="00813CA2">
              <w:rPr>
                <w:noProof/>
              </w:rPr>
              <w:t>33.0 %</w:t>
            </w:r>
          </w:p>
        </w:tc>
        <w:tc>
          <w:tcPr>
            <w:tcW w:w="2088" w:type="dxa"/>
            <w:tcBorders>
              <w:top w:val="single" w:sz="6" w:space="0" w:color="auto"/>
              <w:left w:val="single" w:sz="6" w:space="0" w:color="auto"/>
              <w:bottom w:val="single" w:sz="6" w:space="0" w:color="auto"/>
              <w:right w:val="single" w:sz="6" w:space="0" w:color="auto"/>
            </w:tcBorders>
            <w:shd w:val="clear" w:color="auto" w:fill="FFFFFF"/>
            <w:vAlign w:val="bottom"/>
          </w:tcPr>
          <w:p w14:paraId="79776F15" w14:textId="6ADC644E" w:rsidR="00103299" w:rsidRPr="00813CA2" w:rsidRDefault="00103299" w:rsidP="00C913F5">
            <w:pPr>
              <w:spacing w:after="0"/>
              <w:jc w:val="center"/>
              <w:rPr>
                <w:noProof/>
              </w:rPr>
            </w:pPr>
            <w:r w:rsidRPr="00813CA2">
              <w:rPr>
                <w:noProof/>
              </w:rPr>
              <w:t>33.0 %</w:t>
            </w:r>
          </w:p>
        </w:tc>
      </w:tr>
    </w:tbl>
    <w:p w14:paraId="363201CE" w14:textId="77777777" w:rsidR="00813CA2" w:rsidRPr="007B760E" w:rsidRDefault="00813CA2" w:rsidP="00103299">
      <w:pPr>
        <w:jc w:val="both"/>
        <w:rPr>
          <w:noProof/>
          <w:lang w:val="en-US"/>
        </w:rPr>
      </w:pPr>
    </w:p>
    <w:p w14:paraId="5C574928" w14:textId="77777777" w:rsidR="008B5806" w:rsidRPr="008B5806" w:rsidRDefault="008B5806" w:rsidP="00103299">
      <w:pPr>
        <w:pStyle w:val="Titre2"/>
        <w:jc w:val="both"/>
        <w:rPr>
          <w:lang w:val="en-US"/>
        </w:rPr>
      </w:pPr>
      <w:bookmarkStart w:id="8" w:name="_Toc213427576"/>
      <w:r w:rsidRPr="008B5806">
        <w:rPr>
          <w:lang w:val="en-US"/>
        </w:rPr>
        <w:t>Personal Support Workers Tax Credit</w:t>
      </w:r>
      <w:bookmarkEnd w:id="8"/>
      <w:r w:rsidRPr="008B5806">
        <w:rPr>
          <w:lang w:val="en-US"/>
        </w:rPr>
        <w:t xml:space="preserve"> </w:t>
      </w:r>
    </w:p>
    <w:p w14:paraId="0F61FFAA" w14:textId="525FE190" w:rsidR="0055617E" w:rsidRPr="0055617E" w:rsidRDefault="0055617E" w:rsidP="00103299">
      <w:pPr>
        <w:jc w:val="both"/>
        <w:rPr>
          <w:lang w:val="en-US"/>
        </w:rPr>
      </w:pPr>
      <w:r w:rsidRPr="0055617E">
        <w:rPr>
          <w:lang w:val="en-US"/>
        </w:rPr>
        <w:t>Budget</w:t>
      </w:r>
      <w:r w:rsidR="0020250D">
        <w:rPr>
          <w:lang w:val="en-US"/>
        </w:rPr>
        <w:t xml:space="preserve"> 2025</w:t>
      </w:r>
      <w:r w:rsidRPr="0055617E">
        <w:rPr>
          <w:lang w:val="en-US"/>
        </w:rPr>
        <w:t xml:space="preserve"> introduces a temporary refundable tax credit equal to 5% of eligible income, up to a maximum of $1,100, for personal support workers employed in eligible health care facilities, including hospitals, nursing homes, community care facilities, and home care services.</w:t>
      </w:r>
    </w:p>
    <w:p w14:paraId="518B7752" w14:textId="214370CE" w:rsidR="0055617E" w:rsidRPr="0055617E" w:rsidRDefault="0055617E" w:rsidP="00103299">
      <w:pPr>
        <w:jc w:val="both"/>
        <w:rPr>
          <w:lang w:val="en-US"/>
        </w:rPr>
      </w:pPr>
      <w:r w:rsidRPr="0055617E">
        <w:rPr>
          <w:lang w:val="en-US"/>
        </w:rPr>
        <w:t>This credit targets workers who provide essential care services to maintain the health, safety, and independence of patients, particularly by assisting them with daily living activities.</w:t>
      </w:r>
    </w:p>
    <w:p w14:paraId="768BBFFC" w14:textId="0FAA191D" w:rsidR="0055617E" w:rsidRPr="0055617E" w:rsidRDefault="0055617E" w:rsidP="00103299">
      <w:pPr>
        <w:jc w:val="both"/>
        <w:rPr>
          <w:b/>
          <w:lang w:val="en-US"/>
        </w:rPr>
      </w:pPr>
      <w:r w:rsidRPr="0055617E">
        <w:rPr>
          <w:lang w:val="en-US"/>
        </w:rPr>
        <w:t>This temporary measure w</w:t>
      </w:r>
      <w:r w:rsidR="00987FC0">
        <w:rPr>
          <w:lang w:val="en-US"/>
        </w:rPr>
        <w:t>ould</w:t>
      </w:r>
      <w:r w:rsidRPr="0055617E">
        <w:rPr>
          <w:lang w:val="en-US"/>
        </w:rPr>
        <w:t xml:space="preserve"> apply to taxation years from 2026 to 2030.</w:t>
      </w:r>
    </w:p>
    <w:p w14:paraId="661AE173" w14:textId="77777777" w:rsidR="00626078" w:rsidRPr="00626078" w:rsidRDefault="00626078" w:rsidP="00103299">
      <w:pPr>
        <w:pStyle w:val="Titre2"/>
        <w:jc w:val="both"/>
        <w:rPr>
          <w:lang w:val="en-US"/>
        </w:rPr>
      </w:pPr>
      <w:bookmarkStart w:id="9" w:name="_Toc213427577"/>
      <w:r w:rsidRPr="00626078">
        <w:rPr>
          <w:lang w:val="en-US"/>
        </w:rPr>
        <w:t>Automatic Federal Benefits for Lower-Income Individuals</w:t>
      </w:r>
      <w:bookmarkEnd w:id="9"/>
      <w:r w:rsidRPr="00626078">
        <w:rPr>
          <w:lang w:val="en-US"/>
        </w:rPr>
        <w:t xml:space="preserve"> </w:t>
      </w:r>
    </w:p>
    <w:p w14:paraId="78FFBAD0" w14:textId="7CB57E64" w:rsidR="003D5DE6" w:rsidRDefault="009A2E56" w:rsidP="00103299">
      <w:pPr>
        <w:jc w:val="both"/>
        <w:rPr>
          <w:lang w:val="en-US"/>
        </w:rPr>
      </w:pPr>
      <w:r w:rsidRPr="009A2E56">
        <w:rPr>
          <w:lang w:val="en-US"/>
        </w:rPr>
        <w:t>To receive their benefits and refundable credits, individuals must file an annual</w:t>
      </w:r>
      <w:r w:rsidR="00E917C3">
        <w:rPr>
          <w:lang w:val="en-US"/>
        </w:rPr>
        <w:t xml:space="preserve"> personal</w:t>
      </w:r>
      <w:r w:rsidRPr="009A2E56">
        <w:rPr>
          <w:lang w:val="en-US"/>
        </w:rPr>
        <w:t xml:space="preserve"> income tax return. Accordingly, Budget</w:t>
      </w:r>
      <w:r w:rsidR="0020250D">
        <w:rPr>
          <w:lang w:val="en-US"/>
        </w:rPr>
        <w:t xml:space="preserve"> 2025</w:t>
      </w:r>
      <w:r w:rsidRPr="009A2E56">
        <w:rPr>
          <w:lang w:val="en-US"/>
        </w:rPr>
        <w:t xml:space="preserve"> proposes to amend the </w:t>
      </w:r>
      <w:r w:rsidRPr="00987FC0">
        <w:rPr>
          <w:i/>
          <w:iCs/>
          <w:lang w:val="en-US"/>
        </w:rPr>
        <w:t>Income Tax Act</w:t>
      </w:r>
      <w:r w:rsidRPr="009A2E56">
        <w:rPr>
          <w:lang w:val="en-US"/>
        </w:rPr>
        <w:t xml:space="preserve"> to authorize the Canada Revenue </w:t>
      </w:r>
    </w:p>
    <w:p w14:paraId="1B4E3E67" w14:textId="77777777" w:rsidR="003D5DE6" w:rsidRDefault="003D5DE6" w:rsidP="00103299">
      <w:pPr>
        <w:jc w:val="both"/>
        <w:rPr>
          <w:lang w:val="en-US"/>
        </w:rPr>
      </w:pPr>
    </w:p>
    <w:p w14:paraId="02000CF5" w14:textId="6CA5A8E3" w:rsidR="009A2E56" w:rsidRPr="009A2E56" w:rsidRDefault="009A2E56" w:rsidP="00103299">
      <w:pPr>
        <w:jc w:val="both"/>
        <w:rPr>
          <w:lang w:val="en-US"/>
        </w:rPr>
      </w:pPr>
      <w:r w:rsidRPr="009A2E56">
        <w:rPr>
          <w:lang w:val="en-US"/>
        </w:rPr>
        <w:lastRenderedPageBreak/>
        <w:t>Agency (</w:t>
      </w:r>
      <w:r w:rsidR="00E917C3">
        <w:rPr>
          <w:lang w:val="en-US"/>
        </w:rPr>
        <w:t>“</w:t>
      </w:r>
      <w:r w:rsidRPr="009A2E56">
        <w:rPr>
          <w:lang w:val="en-US"/>
        </w:rPr>
        <w:t>CRA</w:t>
      </w:r>
      <w:r w:rsidR="00E917C3">
        <w:rPr>
          <w:lang w:val="en-US"/>
        </w:rPr>
        <w:t>”</w:t>
      </w:r>
      <w:r w:rsidRPr="009A2E56">
        <w:rPr>
          <w:lang w:val="en-US"/>
        </w:rPr>
        <w:t>) to file an income tax return on behalf of an individual (other than a trust) who has not done so by the regular filing deadline or within 90 days thereafter.</w:t>
      </w:r>
    </w:p>
    <w:p w14:paraId="1B08AD8B" w14:textId="6519A777" w:rsidR="009A2E56" w:rsidRPr="009A2E56" w:rsidRDefault="00D51C79" w:rsidP="00103299">
      <w:pPr>
        <w:jc w:val="both"/>
        <w:rPr>
          <w:b/>
          <w:bCs/>
          <w:lang w:val="en-US"/>
        </w:rPr>
      </w:pPr>
      <w:r>
        <w:rPr>
          <w:lang w:val="en-US"/>
        </w:rPr>
        <w:t>This proposed measure is set to apply</w:t>
      </w:r>
      <w:r w:rsidR="009A2E56" w:rsidRPr="009A2E56">
        <w:rPr>
          <w:lang w:val="en-US"/>
        </w:rPr>
        <w:t xml:space="preserve"> to low-income individuals whose entire income comes from sources already reported to the CRA, and who have not filed a tax return at least once in the previous </w:t>
      </w:r>
      <w:proofErr w:type="gramStart"/>
      <w:r w:rsidR="009A2E56" w:rsidRPr="009A2E56">
        <w:rPr>
          <w:lang w:val="en-US"/>
        </w:rPr>
        <w:t xml:space="preserve">three </w:t>
      </w:r>
      <w:r w:rsidR="00E917C3">
        <w:rPr>
          <w:lang w:val="en-US"/>
        </w:rPr>
        <w:t>taxation</w:t>
      </w:r>
      <w:proofErr w:type="gramEnd"/>
      <w:r w:rsidR="00E917C3">
        <w:rPr>
          <w:lang w:val="en-US"/>
        </w:rPr>
        <w:t xml:space="preserve"> </w:t>
      </w:r>
      <w:r w:rsidR="009A2E56" w:rsidRPr="009A2E56">
        <w:rPr>
          <w:lang w:val="en-US"/>
        </w:rPr>
        <w:t>years.</w:t>
      </w:r>
    </w:p>
    <w:p w14:paraId="2931913F" w14:textId="62C6E142" w:rsidR="009A2E56" w:rsidRPr="009A2E56" w:rsidRDefault="009A2E56" w:rsidP="00103299">
      <w:pPr>
        <w:jc w:val="both"/>
        <w:rPr>
          <w:lang w:val="en-US"/>
        </w:rPr>
      </w:pPr>
      <w:r w:rsidRPr="009A2E56">
        <w:rPr>
          <w:lang w:val="en-US"/>
        </w:rPr>
        <w:t xml:space="preserve">Before filing the </w:t>
      </w:r>
      <w:r w:rsidR="00E917C3">
        <w:rPr>
          <w:lang w:val="en-US"/>
        </w:rPr>
        <w:t xml:space="preserve">personal tax </w:t>
      </w:r>
      <w:r w:rsidRPr="009A2E56">
        <w:rPr>
          <w:lang w:val="en-US"/>
        </w:rPr>
        <w:t>return</w:t>
      </w:r>
      <w:r w:rsidR="00D51C79">
        <w:rPr>
          <w:lang w:val="en-US"/>
        </w:rPr>
        <w:t xml:space="preserve"> on behalf of the concerned taxpayer</w:t>
      </w:r>
      <w:r w:rsidRPr="009A2E56">
        <w:rPr>
          <w:lang w:val="en-US"/>
        </w:rPr>
        <w:t>, the CRA w</w:t>
      </w:r>
      <w:r w:rsidR="00987FC0">
        <w:rPr>
          <w:lang w:val="en-US"/>
        </w:rPr>
        <w:t xml:space="preserve">ould </w:t>
      </w:r>
      <w:r w:rsidRPr="009A2E56">
        <w:rPr>
          <w:lang w:val="en-US"/>
        </w:rPr>
        <w:t xml:space="preserve">send the individual the income information </w:t>
      </w:r>
      <w:r w:rsidR="00D51C79">
        <w:rPr>
          <w:lang w:val="en-US"/>
        </w:rPr>
        <w:t xml:space="preserve">it has in </w:t>
      </w:r>
      <w:r w:rsidRPr="009A2E56">
        <w:rPr>
          <w:lang w:val="en-US"/>
        </w:rPr>
        <w:t xml:space="preserve">its possession. The individual would </w:t>
      </w:r>
      <w:r w:rsidR="00D51C79">
        <w:rPr>
          <w:lang w:val="en-US"/>
        </w:rPr>
        <w:t xml:space="preserve">then </w:t>
      </w:r>
      <w:r w:rsidRPr="009A2E56">
        <w:rPr>
          <w:lang w:val="en-US"/>
        </w:rPr>
        <w:t xml:space="preserve">have 90 days to review or modify </w:t>
      </w:r>
      <w:r w:rsidR="00D51C79">
        <w:rPr>
          <w:lang w:val="en-US"/>
        </w:rPr>
        <w:t xml:space="preserve">such </w:t>
      </w:r>
      <w:r w:rsidRPr="009A2E56">
        <w:rPr>
          <w:lang w:val="en-US"/>
        </w:rPr>
        <w:t xml:space="preserve">information. If no response is received, the CRA could file the return, issue the notice of assessment, </w:t>
      </w:r>
      <w:r w:rsidR="005B5DBB" w:rsidRPr="009A2E56">
        <w:rPr>
          <w:lang w:val="en-US"/>
        </w:rPr>
        <w:t xml:space="preserve">and </w:t>
      </w:r>
      <w:r w:rsidR="00D51C79">
        <w:rPr>
          <w:lang w:val="en-US"/>
        </w:rPr>
        <w:t xml:space="preserve">issue </w:t>
      </w:r>
      <w:r w:rsidR="004A3B6C">
        <w:rPr>
          <w:lang w:val="en-US"/>
        </w:rPr>
        <w:t>payment</w:t>
      </w:r>
      <w:r w:rsidR="00D51C79">
        <w:rPr>
          <w:lang w:val="en-US"/>
        </w:rPr>
        <w:t>s</w:t>
      </w:r>
      <w:r w:rsidR="004A3B6C">
        <w:rPr>
          <w:lang w:val="en-US"/>
        </w:rPr>
        <w:t xml:space="preserve"> of </w:t>
      </w:r>
      <w:r w:rsidRPr="009A2E56">
        <w:rPr>
          <w:lang w:val="en-US"/>
        </w:rPr>
        <w:t>the related benefits or credits.</w:t>
      </w:r>
    </w:p>
    <w:p w14:paraId="5CA9151C" w14:textId="3CC80884" w:rsidR="009A2E56" w:rsidRPr="009A2E56" w:rsidRDefault="009A2E56" w:rsidP="00103299">
      <w:pPr>
        <w:jc w:val="both"/>
        <w:rPr>
          <w:lang w:val="en-US"/>
        </w:rPr>
      </w:pPr>
      <w:r w:rsidRPr="009A2E56">
        <w:rPr>
          <w:lang w:val="en-US"/>
        </w:rPr>
        <w:t>Individuals w</w:t>
      </w:r>
      <w:r w:rsidR="00F01B82">
        <w:rPr>
          <w:lang w:val="en-US"/>
        </w:rPr>
        <w:t>ill</w:t>
      </w:r>
      <w:r w:rsidRPr="009A2E56">
        <w:rPr>
          <w:lang w:val="en-US"/>
        </w:rPr>
        <w:t xml:space="preserve"> have the option to opt out of this automated filing program, and the existing rules for assessment, objection, and appeal would continue to apply.</w:t>
      </w:r>
    </w:p>
    <w:p w14:paraId="5BBE38A9" w14:textId="30E9A27F" w:rsidR="009A2E56" w:rsidRDefault="009A2E56" w:rsidP="00103299">
      <w:pPr>
        <w:jc w:val="both"/>
        <w:rPr>
          <w:b/>
          <w:lang w:val="en-US"/>
        </w:rPr>
      </w:pPr>
      <w:r w:rsidRPr="009A2E56">
        <w:rPr>
          <w:lang w:val="en-US"/>
        </w:rPr>
        <w:t>This measure w</w:t>
      </w:r>
      <w:r w:rsidR="00103299">
        <w:rPr>
          <w:lang w:val="en-US"/>
        </w:rPr>
        <w:t>ould</w:t>
      </w:r>
      <w:r w:rsidRPr="009A2E56">
        <w:rPr>
          <w:lang w:val="en-US"/>
        </w:rPr>
        <w:t xml:space="preserve"> take effect for the 2025 taxation year</w:t>
      </w:r>
      <w:r w:rsidR="00E917C3">
        <w:rPr>
          <w:lang w:val="en-US"/>
        </w:rPr>
        <w:t xml:space="preserve"> and is open for consultation until January 30, 2026</w:t>
      </w:r>
      <w:r w:rsidRPr="009A2E56">
        <w:rPr>
          <w:lang w:val="en-US"/>
        </w:rPr>
        <w:t>.</w:t>
      </w:r>
    </w:p>
    <w:p w14:paraId="61BC69FF" w14:textId="77777777" w:rsidR="003E6AFF" w:rsidRPr="00FC7F07" w:rsidRDefault="003E6AFF" w:rsidP="00103299">
      <w:pPr>
        <w:pStyle w:val="Titre2"/>
        <w:jc w:val="both"/>
        <w:rPr>
          <w:lang w:val="en-US"/>
        </w:rPr>
      </w:pPr>
      <w:bookmarkStart w:id="10" w:name="_Toc213427578"/>
      <w:r w:rsidRPr="00FC7F07">
        <w:rPr>
          <w:lang w:val="en-US"/>
        </w:rPr>
        <w:t>Top-Up Tax Credit</w:t>
      </w:r>
      <w:bookmarkEnd w:id="10"/>
      <w:r w:rsidRPr="00FC7F07">
        <w:rPr>
          <w:lang w:val="en-US"/>
        </w:rPr>
        <w:t xml:space="preserve"> </w:t>
      </w:r>
    </w:p>
    <w:p w14:paraId="0FCB3483" w14:textId="2FADA60C" w:rsidR="00FC7F07" w:rsidRPr="00FC7F07" w:rsidRDefault="00FC7F07" w:rsidP="00FC7F07">
      <w:pPr>
        <w:jc w:val="both"/>
        <w:rPr>
          <w:lang w:val="en-US"/>
        </w:rPr>
      </w:pPr>
      <w:r w:rsidRPr="00FC7F07">
        <w:rPr>
          <w:lang w:val="en-US"/>
        </w:rPr>
        <w:t>As mentioned previously, the tax rate on the first income bracket for individuals is expected to be reduced to 14.5% in 2025, and then to 14% for 2026 and subsequent taxation years. The purpose of this reduction is to lower Canadians’ overall tax burden.</w:t>
      </w:r>
    </w:p>
    <w:p w14:paraId="01AA4270" w14:textId="6B0C2059" w:rsidR="00FC7F07" w:rsidRPr="00FC7F07" w:rsidRDefault="00FC7F07" w:rsidP="00FC7F07">
      <w:pPr>
        <w:jc w:val="both"/>
        <w:rPr>
          <w:lang w:val="en-US"/>
        </w:rPr>
      </w:pPr>
      <w:r w:rsidRPr="00FC7F07">
        <w:rPr>
          <w:lang w:val="en-US"/>
        </w:rPr>
        <w:t>However, in very rare cases, the tax savings for certain Canadians could be less than the decrease in the value of their non-refundable tax credits. This could occur, for example, when a taxpayer has</w:t>
      </w:r>
      <w:r w:rsidR="00E917C3">
        <w:rPr>
          <w:lang w:val="en-US"/>
        </w:rPr>
        <w:t xml:space="preserve"> incurred and claimed</w:t>
      </w:r>
      <w:r w:rsidRPr="00FC7F07">
        <w:rPr>
          <w:lang w:val="en-US"/>
        </w:rPr>
        <w:t xml:space="preserve"> more than $57,375 (in 2025) in medical or tuition expenses.</w:t>
      </w:r>
    </w:p>
    <w:p w14:paraId="7BC362AE" w14:textId="70E40380" w:rsidR="00FC7F07" w:rsidRPr="00FC7F07" w:rsidRDefault="00FC7F07" w:rsidP="00FC7F07">
      <w:pPr>
        <w:jc w:val="both"/>
        <w:rPr>
          <w:lang w:val="en-US"/>
        </w:rPr>
      </w:pPr>
      <w:r w:rsidRPr="00FC7F07">
        <w:rPr>
          <w:lang w:val="en-US"/>
        </w:rPr>
        <w:t xml:space="preserve">To ensure that no one experiences an increase in their actual tax liability, a new non-refundable top-up </w:t>
      </w:r>
      <w:r w:rsidR="00D51C79">
        <w:rPr>
          <w:lang w:val="en-US"/>
        </w:rPr>
        <w:t xml:space="preserve">tax </w:t>
      </w:r>
      <w:r w:rsidRPr="00FC7F07">
        <w:rPr>
          <w:lang w:val="en-US"/>
        </w:rPr>
        <w:t>credit would be introduced. This credit would effectively maintain the current 15% rate for non-refundable tax credits</w:t>
      </w:r>
      <w:r w:rsidR="00D51C79">
        <w:rPr>
          <w:lang w:val="en-US"/>
        </w:rPr>
        <w:t xml:space="preserve"> exceeding </w:t>
      </w:r>
      <w:r w:rsidRPr="00FC7F07">
        <w:rPr>
          <w:lang w:val="en-US"/>
        </w:rPr>
        <w:t>the first income bracket</w:t>
      </w:r>
      <w:r w:rsidR="00E917C3">
        <w:rPr>
          <w:lang w:val="en-US"/>
        </w:rPr>
        <w:t xml:space="preserve"> (</w:t>
      </w:r>
      <w:r w:rsidR="00E917C3" w:rsidRPr="00E917C3">
        <w:rPr>
          <w:i/>
          <w:iCs/>
          <w:lang w:val="en-US"/>
        </w:rPr>
        <w:t>i.e. amounts</w:t>
      </w:r>
      <w:r w:rsidRPr="00E917C3">
        <w:rPr>
          <w:i/>
          <w:iCs/>
          <w:lang w:val="en-US"/>
        </w:rPr>
        <w:t xml:space="preserve"> over $57,375</w:t>
      </w:r>
      <w:r w:rsidR="00E917C3">
        <w:rPr>
          <w:lang w:val="en-US"/>
        </w:rPr>
        <w:t>)</w:t>
      </w:r>
      <w:r w:rsidRPr="00FC7F07">
        <w:rPr>
          <w:lang w:val="en-US"/>
        </w:rPr>
        <w:t>.</w:t>
      </w:r>
    </w:p>
    <w:p w14:paraId="2AA14F4F" w14:textId="2AB6F656" w:rsidR="00FC7F07" w:rsidRPr="00FC7F07" w:rsidRDefault="00FC7F07" w:rsidP="00FC7F07">
      <w:pPr>
        <w:jc w:val="both"/>
        <w:rPr>
          <w:lang w:val="en-US"/>
        </w:rPr>
      </w:pPr>
      <w:r w:rsidRPr="00FC7F07">
        <w:rPr>
          <w:lang w:val="en-US"/>
        </w:rPr>
        <w:t xml:space="preserve">The Top-Up Tax Credit would apply for </w:t>
      </w:r>
      <w:r w:rsidR="00D51C79" w:rsidRPr="00FC7F07">
        <w:rPr>
          <w:lang w:val="en-US"/>
        </w:rPr>
        <w:t xml:space="preserve">taxation years </w:t>
      </w:r>
      <w:r w:rsidRPr="00FC7F07">
        <w:rPr>
          <w:lang w:val="en-US"/>
        </w:rPr>
        <w:t>2025 to 2030.</w:t>
      </w:r>
    </w:p>
    <w:p w14:paraId="70B29782" w14:textId="7037E466" w:rsidR="003E6AFF" w:rsidRPr="00DB6501" w:rsidRDefault="003E6AFF" w:rsidP="00103299">
      <w:pPr>
        <w:pStyle w:val="Titre2"/>
        <w:jc w:val="both"/>
        <w:rPr>
          <w:lang w:val="en-US"/>
        </w:rPr>
      </w:pPr>
      <w:bookmarkStart w:id="11" w:name="_Toc213427579"/>
      <w:r w:rsidRPr="00DB6501">
        <w:rPr>
          <w:lang w:val="en-US"/>
        </w:rPr>
        <w:t>Home Accessibility Tax Credit</w:t>
      </w:r>
      <w:bookmarkEnd w:id="11"/>
      <w:r w:rsidRPr="00DB6501">
        <w:rPr>
          <w:lang w:val="en-US"/>
        </w:rPr>
        <w:t xml:space="preserve"> </w:t>
      </w:r>
    </w:p>
    <w:p w14:paraId="5BF9B3A5" w14:textId="4B8A32CA" w:rsidR="0025746E" w:rsidRPr="0025746E" w:rsidRDefault="00D51C79" w:rsidP="00103299">
      <w:pPr>
        <w:jc w:val="both"/>
        <w:rPr>
          <w:lang w:val="en-US"/>
        </w:rPr>
      </w:pPr>
      <w:r>
        <w:rPr>
          <w:lang w:val="en-US"/>
        </w:rPr>
        <w:t xml:space="preserve">Budget 2025 </w:t>
      </w:r>
      <w:r w:rsidR="00182360">
        <w:rPr>
          <w:lang w:val="en-US"/>
        </w:rPr>
        <w:t>introduces</w:t>
      </w:r>
      <w:r>
        <w:rPr>
          <w:lang w:val="en-US"/>
        </w:rPr>
        <w:t xml:space="preserve"> rules preventing </w:t>
      </w:r>
      <w:r w:rsidR="0025746E" w:rsidRPr="0025746E">
        <w:rPr>
          <w:lang w:val="en-US"/>
        </w:rPr>
        <w:t>the same expense from giving rise to two tax advantages</w:t>
      </w:r>
      <w:r>
        <w:rPr>
          <w:lang w:val="en-US"/>
        </w:rPr>
        <w:t>. Taxpayers</w:t>
      </w:r>
      <w:r w:rsidR="00182360">
        <w:rPr>
          <w:lang w:val="en-US"/>
        </w:rPr>
        <w:t xml:space="preserve"> are</w:t>
      </w:r>
      <w:r>
        <w:rPr>
          <w:lang w:val="en-US"/>
        </w:rPr>
        <w:t xml:space="preserve"> </w:t>
      </w:r>
      <w:r w:rsidR="0025746E" w:rsidRPr="0025746E">
        <w:rPr>
          <w:lang w:val="en-US"/>
        </w:rPr>
        <w:t xml:space="preserve">no longer </w:t>
      </w:r>
      <w:r w:rsidR="00182360">
        <w:rPr>
          <w:lang w:val="en-US"/>
        </w:rPr>
        <w:t xml:space="preserve">able </w:t>
      </w:r>
      <w:r w:rsidR="0025746E" w:rsidRPr="0025746E">
        <w:rPr>
          <w:lang w:val="en-US"/>
        </w:rPr>
        <w:t>to claim both the Home Accessibility Tax Credit and the Medical Expense Tax Credit for the same expense.</w:t>
      </w:r>
    </w:p>
    <w:p w14:paraId="156DAD11" w14:textId="77777777" w:rsidR="0025746E" w:rsidRPr="0025746E" w:rsidRDefault="0025746E" w:rsidP="00103299">
      <w:pPr>
        <w:jc w:val="both"/>
        <w:rPr>
          <w:lang w:val="en-US"/>
        </w:rPr>
      </w:pPr>
      <w:r w:rsidRPr="00B83118">
        <w:rPr>
          <w:lang w:val="en-US"/>
        </w:rPr>
        <w:t>The Home Accessibility Tax Credit</w:t>
      </w:r>
      <w:r w:rsidRPr="0025746E">
        <w:rPr>
          <w:lang w:val="en-US"/>
        </w:rPr>
        <w:t xml:space="preserve"> provides tax </w:t>
      </w:r>
      <w:proofErr w:type="gramStart"/>
      <w:r w:rsidRPr="0025746E">
        <w:rPr>
          <w:lang w:val="en-US"/>
        </w:rPr>
        <w:t>relief on</w:t>
      </w:r>
      <w:proofErr w:type="gramEnd"/>
      <w:r w:rsidRPr="0025746E">
        <w:rPr>
          <w:lang w:val="en-US"/>
        </w:rPr>
        <w:t xml:space="preserve"> up to $20,000 in renovation expenses aimed at improving the safety, functionality, or accessibility of a dwelling occupied by an individual aged 65 or older or by an individual eligible for the Disability Tax Credit.</w:t>
      </w:r>
    </w:p>
    <w:p w14:paraId="53B2756B" w14:textId="77777777" w:rsidR="00B83118" w:rsidRDefault="00B83118" w:rsidP="00103299">
      <w:pPr>
        <w:jc w:val="both"/>
        <w:rPr>
          <w:b/>
          <w:bCs/>
          <w:lang w:val="en-US"/>
        </w:rPr>
      </w:pPr>
    </w:p>
    <w:p w14:paraId="2B951CC6" w14:textId="3671935A" w:rsidR="0025746E" w:rsidRPr="0025746E" w:rsidRDefault="0025746E" w:rsidP="00103299">
      <w:pPr>
        <w:jc w:val="both"/>
        <w:rPr>
          <w:lang w:val="en-US"/>
        </w:rPr>
      </w:pPr>
      <w:r w:rsidRPr="00B83118">
        <w:rPr>
          <w:lang w:val="en-US"/>
        </w:rPr>
        <w:lastRenderedPageBreak/>
        <w:t>The Medical Expense Tax Credit applies</w:t>
      </w:r>
      <w:r w:rsidRPr="0025746E">
        <w:rPr>
          <w:lang w:val="en-US"/>
        </w:rPr>
        <w:t xml:space="preserve"> to eligible expenses that exceed the lesser of $2,834 or 3% of net income, and it includes certain renovation costs intended to enhance mobility</w:t>
      </w:r>
      <w:r w:rsidR="00306A53">
        <w:rPr>
          <w:lang w:val="en-US"/>
        </w:rPr>
        <w:t xml:space="preserve"> for persons with disabilities</w:t>
      </w:r>
      <w:r w:rsidRPr="0025746E">
        <w:rPr>
          <w:lang w:val="en-US"/>
        </w:rPr>
        <w:t>.</w:t>
      </w:r>
    </w:p>
    <w:p w14:paraId="1000E9D2" w14:textId="52904B32" w:rsidR="00C44D4F" w:rsidRPr="0025746E" w:rsidRDefault="0025746E" w:rsidP="00103299">
      <w:pPr>
        <w:jc w:val="both"/>
        <w:rPr>
          <w:lang w:val="en-US"/>
        </w:rPr>
      </w:pPr>
      <w:r w:rsidRPr="0025746E">
        <w:rPr>
          <w:lang w:val="en-US"/>
        </w:rPr>
        <w:t>This new measure w</w:t>
      </w:r>
      <w:r w:rsidR="00155693">
        <w:rPr>
          <w:lang w:val="en-US"/>
        </w:rPr>
        <w:t xml:space="preserve">ould </w:t>
      </w:r>
      <w:r w:rsidRPr="0025746E">
        <w:rPr>
          <w:lang w:val="en-US"/>
        </w:rPr>
        <w:t>take effect for the 2026 taxation year</w:t>
      </w:r>
      <w:r w:rsidR="00306A53">
        <w:rPr>
          <w:lang w:val="en-US"/>
        </w:rPr>
        <w:t xml:space="preserve"> and following years</w:t>
      </w:r>
      <w:r w:rsidRPr="0025746E">
        <w:rPr>
          <w:lang w:val="en-US"/>
        </w:rPr>
        <w:t>.</w:t>
      </w:r>
    </w:p>
    <w:p w14:paraId="0E0CDE8D" w14:textId="77777777" w:rsidR="008719C3" w:rsidRDefault="008719C3" w:rsidP="00103299">
      <w:pPr>
        <w:pStyle w:val="Titre2"/>
        <w:jc w:val="both"/>
        <w:rPr>
          <w:lang w:val="en-US"/>
        </w:rPr>
      </w:pPr>
      <w:bookmarkStart w:id="12" w:name="_Toc213427580"/>
      <w:r w:rsidRPr="008719C3">
        <w:rPr>
          <w:lang w:val="en-US"/>
        </w:rPr>
        <w:t>Bare trust reporting rules</w:t>
      </w:r>
      <w:bookmarkEnd w:id="12"/>
      <w:r w:rsidRPr="008719C3">
        <w:rPr>
          <w:lang w:val="en-US"/>
        </w:rPr>
        <w:t xml:space="preserve"> </w:t>
      </w:r>
    </w:p>
    <w:p w14:paraId="68D1C1E5" w14:textId="475936C5" w:rsidR="008719C3" w:rsidRDefault="008719C3" w:rsidP="008719C3">
      <w:pPr>
        <w:jc w:val="both"/>
        <w:rPr>
          <w:lang w:val="en-US"/>
        </w:rPr>
      </w:pPr>
      <w:r>
        <w:rPr>
          <w:lang w:val="en-US"/>
        </w:rPr>
        <w:t xml:space="preserve">Budget 2025 </w:t>
      </w:r>
      <w:r w:rsidRPr="008719C3">
        <w:rPr>
          <w:lang w:val="en-US"/>
        </w:rPr>
        <w:t xml:space="preserve">defers the </w:t>
      </w:r>
      <w:r>
        <w:rPr>
          <w:lang w:val="en-US"/>
        </w:rPr>
        <w:t xml:space="preserve">mandatory </w:t>
      </w:r>
      <w:r w:rsidRPr="008719C3">
        <w:rPr>
          <w:lang w:val="en-US"/>
        </w:rPr>
        <w:t>reporting rules applicable to bare trusts to apply to taxation years ending on or after December 31, 2026. These rules were proposed on August 15, 2025</w:t>
      </w:r>
    </w:p>
    <w:p w14:paraId="693303CD" w14:textId="44970D37" w:rsidR="00C44D4F" w:rsidRPr="002B5986" w:rsidRDefault="002B5986" w:rsidP="00103299">
      <w:pPr>
        <w:pStyle w:val="Titre2"/>
        <w:jc w:val="both"/>
        <w:rPr>
          <w:lang w:val="en-US"/>
        </w:rPr>
      </w:pPr>
      <w:bookmarkStart w:id="13" w:name="_Toc213427581"/>
      <w:r w:rsidRPr="002B5986">
        <w:rPr>
          <w:lang w:val="en-US"/>
        </w:rPr>
        <w:t>Personal Trust</w:t>
      </w:r>
      <w:r w:rsidR="00C44D4F" w:rsidRPr="002B5986">
        <w:rPr>
          <w:lang w:val="en-US"/>
        </w:rPr>
        <w:t xml:space="preserve"> </w:t>
      </w:r>
      <w:r w:rsidRPr="002B5986">
        <w:rPr>
          <w:lang w:val="en-US"/>
        </w:rPr>
        <w:t xml:space="preserve">and the </w:t>
      </w:r>
      <w:r>
        <w:rPr>
          <w:lang w:val="en-US"/>
        </w:rPr>
        <w:t>21-Year Rule</w:t>
      </w:r>
      <w:bookmarkEnd w:id="13"/>
    </w:p>
    <w:p w14:paraId="741B4377" w14:textId="079B8B78" w:rsidR="005A4F87" w:rsidRPr="005A4F87" w:rsidRDefault="00155693" w:rsidP="00103299">
      <w:pPr>
        <w:jc w:val="both"/>
        <w:rPr>
          <w:lang w:val="en-US"/>
        </w:rPr>
      </w:pPr>
      <w:r>
        <w:rPr>
          <w:lang w:val="en-US"/>
        </w:rPr>
        <w:t>To prevent</w:t>
      </w:r>
      <w:r w:rsidR="00793AF2">
        <w:rPr>
          <w:lang w:val="en-US"/>
        </w:rPr>
        <w:t xml:space="preserve"> </w:t>
      </w:r>
      <w:r>
        <w:rPr>
          <w:lang w:val="en-US"/>
        </w:rPr>
        <w:t xml:space="preserve">the </w:t>
      </w:r>
      <w:r w:rsidR="00A41CB5">
        <w:rPr>
          <w:lang w:val="en-US"/>
        </w:rPr>
        <w:t>indefinite deferral of tax on accrued gains on person</w:t>
      </w:r>
      <w:r w:rsidR="002D65B3">
        <w:rPr>
          <w:lang w:val="en-US"/>
        </w:rPr>
        <w:t>al</w:t>
      </w:r>
      <w:r w:rsidR="00A41CB5">
        <w:rPr>
          <w:lang w:val="en-US"/>
        </w:rPr>
        <w:t xml:space="preserve"> trust’s </w:t>
      </w:r>
      <w:r w:rsidR="00793AF2">
        <w:rPr>
          <w:lang w:val="en-US"/>
        </w:rPr>
        <w:t xml:space="preserve">properties, </w:t>
      </w:r>
      <w:r w:rsidR="00306A53">
        <w:rPr>
          <w:lang w:val="en-US"/>
        </w:rPr>
        <w:t>a specific anti-avoidance rule currently exists where e</w:t>
      </w:r>
      <w:r w:rsidR="00306A53" w:rsidRPr="005A4F87">
        <w:rPr>
          <w:lang w:val="en-US"/>
        </w:rPr>
        <w:t>very 21 years,</w:t>
      </w:r>
      <w:r w:rsidR="00306A53">
        <w:rPr>
          <w:lang w:val="en-US"/>
        </w:rPr>
        <w:t xml:space="preserve"> certain trust’s properties</w:t>
      </w:r>
      <w:r w:rsidR="005A4F87" w:rsidRPr="005A4F87">
        <w:rPr>
          <w:lang w:val="en-US"/>
        </w:rPr>
        <w:t xml:space="preserve"> </w:t>
      </w:r>
      <w:r w:rsidR="00306A53">
        <w:rPr>
          <w:lang w:val="en-US"/>
        </w:rPr>
        <w:t>(i.e</w:t>
      </w:r>
      <w:r w:rsidR="00306A53" w:rsidRPr="00306A53">
        <w:rPr>
          <w:i/>
          <w:iCs/>
          <w:lang w:val="en-US"/>
        </w:rPr>
        <w:t>. mainly capital properties</w:t>
      </w:r>
      <w:r w:rsidR="00306A53">
        <w:rPr>
          <w:lang w:val="en-US"/>
        </w:rPr>
        <w:t>) are deemed as having been</w:t>
      </w:r>
      <w:r w:rsidR="005A4F87" w:rsidRPr="005A4F87">
        <w:rPr>
          <w:lang w:val="en-US"/>
        </w:rPr>
        <w:t xml:space="preserve"> disposed</w:t>
      </w:r>
      <w:r w:rsidR="00306A53">
        <w:rPr>
          <w:lang w:val="en-US"/>
        </w:rPr>
        <w:t xml:space="preserve"> of</w:t>
      </w:r>
      <w:r w:rsidR="005A4F87" w:rsidRPr="005A4F87">
        <w:rPr>
          <w:lang w:val="en-US"/>
        </w:rPr>
        <w:t xml:space="preserve"> at </w:t>
      </w:r>
      <w:r w:rsidR="00306A53">
        <w:rPr>
          <w:lang w:val="en-US"/>
        </w:rPr>
        <w:t xml:space="preserve">their </w:t>
      </w:r>
      <w:r w:rsidR="005A4F87" w:rsidRPr="005A4F87">
        <w:rPr>
          <w:lang w:val="en-US"/>
        </w:rPr>
        <w:t xml:space="preserve">fair market value. </w:t>
      </w:r>
    </w:p>
    <w:p w14:paraId="54F825B0" w14:textId="25190798" w:rsidR="005A4F87" w:rsidRPr="005A4F87" w:rsidRDefault="00306A53" w:rsidP="00103299">
      <w:pPr>
        <w:jc w:val="both"/>
        <w:rPr>
          <w:lang w:val="en-US"/>
        </w:rPr>
      </w:pPr>
      <w:r>
        <w:rPr>
          <w:lang w:val="en-US"/>
        </w:rPr>
        <w:t>Such a</w:t>
      </w:r>
      <w:r w:rsidR="005A4F87" w:rsidRPr="005A4F87">
        <w:rPr>
          <w:lang w:val="en-US"/>
        </w:rPr>
        <w:t>n anti-avoidance rule prevent</w:t>
      </w:r>
      <w:r>
        <w:rPr>
          <w:lang w:val="en-US"/>
        </w:rPr>
        <w:t>s</w:t>
      </w:r>
      <w:r w:rsidR="005A4F87" w:rsidRPr="005A4F87">
        <w:rPr>
          <w:lang w:val="en-US"/>
        </w:rPr>
        <w:t xml:space="preserve"> direct transfers of property between trusts from effectively resetting the 21-year deemed disposition clock. However, certain tax planning strategies have been used to circumvent this rule through indirect transfers. For instance, a trust may transfer property to a corporate beneficiary, and that corporation may, in turn, be owned by another trust.</w:t>
      </w:r>
    </w:p>
    <w:p w14:paraId="4ECABBB6" w14:textId="09C6E8DB" w:rsidR="005A4F87" w:rsidRPr="005A4F87" w:rsidRDefault="005A4F87" w:rsidP="00103299">
      <w:pPr>
        <w:jc w:val="both"/>
        <w:rPr>
          <w:lang w:val="en-US"/>
        </w:rPr>
      </w:pPr>
      <w:r w:rsidRPr="005A4F87">
        <w:rPr>
          <w:lang w:val="en-US"/>
        </w:rPr>
        <w:t>To address this avoidance technique, the existing anti-avoidance rule targeting direct inter-trust transfers w</w:t>
      </w:r>
      <w:r w:rsidR="005B5DBB">
        <w:rPr>
          <w:lang w:val="en-US"/>
        </w:rPr>
        <w:t>ould</w:t>
      </w:r>
      <w:r w:rsidRPr="005A4F87">
        <w:rPr>
          <w:lang w:val="en-US"/>
        </w:rPr>
        <w:t xml:space="preserve"> be expanded to include indirect transfers of property between trusts, ensuring that accrued gains remain taxable on the same 21-year schedule</w:t>
      </w:r>
      <w:r w:rsidR="00306A53">
        <w:rPr>
          <w:lang w:val="en-US"/>
        </w:rPr>
        <w:t xml:space="preserve"> basis</w:t>
      </w:r>
      <w:r w:rsidRPr="005A4F87">
        <w:rPr>
          <w:lang w:val="en-US"/>
        </w:rPr>
        <w:t>.</w:t>
      </w:r>
    </w:p>
    <w:p w14:paraId="45ADF466" w14:textId="62DBE451" w:rsidR="002E1558" w:rsidRDefault="005A4F87" w:rsidP="00103299">
      <w:pPr>
        <w:jc w:val="both"/>
        <w:rPr>
          <w:lang w:val="en-US"/>
        </w:rPr>
      </w:pPr>
      <w:r w:rsidRPr="005A4F87">
        <w:rPr>
          <w:lang w:val="en-US"/>
        </w:rPr>
        <w:t>This amendment w</w:t>
      </w:r>
      <w:r w:rsidR="005B5DBB">
        <w:rPr>
          <w:lang w:val="en-US"/>
        </w:rPr>
        <w:t>ould</w:t>
      </w:r>
      <w:r>
        <w:rPr>
          <w:lang w:val="en-US"/>
        </w:rPr>
        <w:t xml:space="preserve"> </w:t>
      </w:r>
      <w:r w:rsidRPr="005A4F87">
        <w:rPr>
          <w:lang w:val="en-US"/>
        </w:rPr>
        <w:t xml:space="preserve">take effect </w:t>
      </w:r>
      <w:r w:rsidR="00306A53">
        <w:rPr>
          <w:lang w:val="en-US"/>
        </w:rPr>
        <w:t xml:space="preserve">on or after </w:t>
      </w:r>
      <w:r w:rsidR="00DB6501">
        <w:rPr>
          <w:lang w:val="en-US"/>
        </w:rPr>
        <w:t>Budget Day 2025.</w:t>
      </w:r>
    </w:p>
    <w:p w14:paraId="0ED0CE1A" w14:textId="77777777" w:rsidR="008719C3" w:rsidRDefault="008719C3" w:rsidP="008719C3">
      <w:pPr>
        <w:pStyle w:val="Titre2"/>
        <w:jc w:val="both"/>
        <w:rPr>
          <w:lang w:val="en-US"/>
        </w:rPr>
      </w:pPr>
      <w:bookmarkStart w:id="14" w:name="_Toc213427582"/>
      <w:r w:rsidRPr="008719C3">
        <w:rPr>
          <w:lang w:val="en-US"/>
        </w:rPr>
        <w:t>Canadian Entrepreneurs’ Incentive</w:t>
      </w:r>
      <w:bookmarkEnd w:id="14"/>
    </w:p>
    <w:p w14:paraId="791A6C58" w14:textId="7C4F747A" w:rsidR="008719C3" w:rsidRPr="00C21C6C" w:rsidRDefault="00436D08" w:rsidP="00CC70EA">
      <w:pPr>
        <w:jc w:val="both"/>
        <w:rPr>
          <w:lang w:val="en-US"/>
        </w:rPr>
      </w:pPr>
      <w:r w:rsidRPr="00C21C6C">
        <w:rPr>
          <w:lang w:val="en-US"/>
        </w:rPr>
        <w:t>Considering the abandonment of the</w:t>
      </w:r>
      <w:r w:rsidR="008719C3" w:rsidRPr="00C21C6C">
        <w:rPr>
          <w:lang w:val="en-US"/>
        </w:rPr>
        <w:t xml:space="preserve"> </w:t>
      </w:r>
      <w:r w:rsidRPr="00C21C6C">
        <w:rPr>
          <w:lang w:val="en-US"/>
        </w:rPr>
        <w:t xml:space="preserve">proposed </w:t>
      </w:r>
      <w:r w:rsidR="008719C3" w:rsidRPr="00C21C6C">
        <w:rPr>
          <w:lang w:val="en-US"/>
        </w:rPr>
        <w:t>capital gains tax increase</w:t>
      </w:r>
      <w:r w:rsidRPr="00C21C6C">
        <w:rPr>
          <w:lang w:val="en-US"/>
        </w:rPr>
        <w:t>, Budget 2025</w:t>
      </w:r>
      <w:r w:rsidR="008719C3" w:rsidRPr="00C21C6C">
        <w:rPr>
          <w:lang w:val="en-US"/>
        </w:rPr>
        <w:t xml:space="preserve"> provides </w:t>
      </w:r>
      <w:r w:rsidRPr="00C21C6C">
        <w:rPr>
          <w:lang w:val="en-US"/>
        </w:rPr>
        <w:t xml:space="preserve">for </w:t>
      </w:r>
      <w:r w:rsidR="008719C3" w:rsidRPr="00C21C6C">
        <w:rPr>
          <w:lang w:val="en-US"/>
        </w:rPr>
        <w:t>of remov</w:t>
      </w:r>
      <w:r w:rsidRPr="00C21C6C">
        <w:rPr>
          <w:lang w:val="en-US"/>
        </w:rPr>
        <w:t>al</w:t>
      </w:r>
      <w:r w:rsidR="008719C3" w:rsidRPr="00C21C6C">
        <w:rPr>
          <w:lang w:val="en-US"/>
        </w:rPr>
        <w:t xml:space="preserve"> </w:t>
      </w:r>
      <w:r w:rsidRPr="00C21C6C">
        <w:rPr>
          <w:lang w:val="en-US"/>
        </w:rPr>
        <w:t>of this proposed tax incentive announced previously</w:t>
      </w:r>
      <w:r w:rsidR="008719C3" w:rsidRPr="00C21C6C">
        <w:rPr>
          <w:lang w:val="en-US"/>
        </w:rPr>
        <w:t>.</w:t>
      </w:r>
    </w:p>
    <w:p w14:paraId="02F814A1" w14:textId="77777777" w:rsidR="002E1558" w:rsidRDefault="002E1558" w:rsidP="002E1558">
      <w:pPr>
        <w:pStyle w:val="Titre2"/>
        <w:jc w:val="both"/>
        <w:rPr>
          <w:lang w:val="en-US"/>
        </w:rPr>
      </w:pPr>
      <w:bookmarkStart w:id="15" w:name="_Toc213427583"/>
      <w:r w:rsidRPr="002E1558">
        <w:rPr>
          <w:lang w:val="en-US"/>
        </w:rPr>
        <w:t>Qualified investments for registered plans</w:t>
      </w:r>
      <w:bookmarkEnd w:id="15"/>
    </w:p>
    <w:p w14:paraId="025B1447" w14:textId="061F4387" w:rsidR="002E1558" w:rsidRPr="00C21C6C" w:rsidRDefault="002E1558" w:rsidP="00C21C6C">
      <w:pPr>
        <w:rPr>
          <w:lang w:val="en-US"/>
        </w:rPr>
      </w:pPr>
      <w:r w:rsidRPr="00C21C6C">
        <w:rPr>
          <w:lang w:val="en-US"/>
        </w:rPr>
        <w:t>Budget 2025 proposes the following amendments to simpl</w:t>
      </w:r>
      <w:r w:rsidR="00182360">
        <w:rPr>
          <w:lang w:val="en-US"/>
        </w:rPr>
        <w:t>if</w:t>
      </w:r>
      <w:r w:rsidRPr="00C21C6C">
        <w:rPr>
          <w:lang w:val="en-US"/>
        </w:rPr>
        <w:t>y, streamline and harmonize the current Qualified Investments for registered plans rules:</w:t>
      </w:r>
    </w:p>
    <w:p w14:paraId="0B3A49C3" w14:textId="1D6C1F61" w:rsidR="002E1558" w:rsidRPr="00C21C6C" w:rsidRDefault="007E6341" w:rsidP="00CC70EA">
      <w:pPr>
        <w:pStyle w:val="Paragraphedeliste"/>
        <w:numPr>
          <w:ilvl w:val="0"/>
          <w:numId w:val="26"/>
        </w:numPr>
        <w:jc w:val="both"/>
        <w:rPr>
          <w:lang w:val="en-US"/>
        </w:rPr>
      </w:pPr>
      <w:r w:rsidRPr="00C21C6C">
        <w:rPr>
          <w:lang w:val="en-US"/>
        </w:rPr>
        <w:t>E</w:t>
      </w:r>
      <w:r w:rsidR="002E1558" w:rsidRPr="00C21C6C">
        <w:rPr>
          <w:lang w:val="en-US"/>
        </w:rPr>
        <w:t>xtend</w:t>
      </w:r>
      <w:r w:rsidRPr="00C21C6C">
        <w:rPr>
          <w:lang w:val="en-US"/>
        </w:rPr>
        <w:t xml:space="preserve"> to</w:t>
      </w:r>
      <w:r w:rsidR="002E1558" w:rsidRPr="00C21C6C">
        <w:rPr>
          <w:lang w:val="en-US"/>
        </w:rPr>
        <w:t xml:space="preserve"> R</w:t>
      </w:r>
      <w:r w:rsidR="00182360">
        <w:rPr>
          <w:lang w:val="en-US"/>
        </w:rPr>
        <w:t xml:space="preserve">egistered </w:t>
      </w:r>
      <w:r w:rsidR="002E1558" w:rsidRPr="00C21C6C">
        <w:rPr>
          <w:lang w:val="en-US"/>
        </w:rPr>
        <w:t>D</w:t>
      </w:r>
      <w:r w:rsidR="00182360">
        <w:rPr>
          <w:lang w:val="en-US"/>
        </w:rPr>
        <w:t xml:space="preserve">isability </w:t>
      </w:r>
      <w:r w:rsidR="002E1558" w:rsidRPr="00C21C6C">
        <w:rPr>
          <w:lang w:val="en-US"/>
        </w:rPr>
        <w:t>S</w:t>
      </w:r>
      <w:r w:rsidR="00182360">
        <w:rPr>
          <w:lang w:val="en-US"/>
        </w:rPr>
        <w:t xml:space="preserve">avings </w:t>
      </w:r>
      <w:r w:rsidR="002E1558" w:rsidRPr="00C21C6C">
        <w:rPr>
          <w:lang w:val="en-US"/>
        </w:rPr>
        <w:t>P</w:t>
      </w:r>
      <w:r w:rsidR="00182360">
        <w:rPr>
          <w:lang w:val="en-US"/>
        </w:rPr>
        <w:t>lans (“RDSP”)</w:t>
      </w:r>
      <w:r w:rsidR="002E1558" w:rsidRPr="00C21C6C">
        <w:rPr>
          <w:lang w:val="en-US"/>
        </w:rPr>
        <w:t xml:space="preserve"> </w:t>
      </w:r>
      <w:r w:rsidRPr="00C21C6C">
        <w:rPr>
          <w:lang w:val="en-US"/>
        </w:rPr>
        <w:t xml:space="preserve">the ability </w:t>
      </w:r>
      <w:r w:rsidR="002E1558" w:rsidRPr="00C21C6C">
        <w:rPr>
          <w:lang w:val="en-US"/>
        </w:rPr>
        <w:t xml:space="preserve">to make </w:t>
      </w:r>
      <w:r w:rsidRPr="00C21C6C">
        <w:rPr>
          <w:lang w:val="en-US"/>
        </w:rPr>
        <w:t xml:space="preserve">eligible </w:t>
      </w:r>
      <w:r w:rsidR="002E1558" w:rsidRPr="00C21C6C">
        <w:rPr>
          <w:lang w:val="en-US"/>
        </w:rPr>
        <w:t>investments in specified small business corporations, venture capital corporations and specified cooperative corporations</w:t>
      </w:r>
      <w:r w:rsidRPr="00C21C6C">
        <w:rPr>
          <w:lang w:val="en-US"/>
        </w:rPr>
        <w:t xml:space="preserve">. However, eligibility of </w:t>
      </w:r>
      <w:r w:rsidR="002E1558" w:rsidRPr="00C21C6C">
        <w:rPr>
          <w:lang w:val="en-US"/>
        </w:rPr>
        <w:t xml:space="preserve">investments in </w:t>
      </w:r>
      <w:r w:rsidRPr="00C21C6C">
        <w:rPr>
          <w:lang w:val="en-US"/>
        </w:rPr>
        <w:t xml:space="preserve">shares of </w:t>
      </w:r>
      <w:r w:rsidR="002E1558" w:rsidRPr="00C21C6C">
        <w:rPr>
          <w:lang w:val="en-US"/>
        </w:rPr>
        <w:t>eligible corporations, small business investment limited partnerships and small business investment trusts would be repealed. These amendments would apply as of 1 January 2027.</w:t>
      </w:r>
    </w:p>
    <w:p w14:paraId="562C85EB" w14:textId="19DA2705" w:rsidR="002E1558" w:rsidRPr="00C21C6C" w:rsidRDefault="007E6341" w:rsidP="00CC70EA">
      <w:pPr>
        <w:pStyle w:val="Paragraphedeliste"/>
        <w:numPr>
          <w:ilvl w:val="0"/>
          <w:numId w:val="26"/>
        </w:numPr>
        <w:jc w:val="both"/>
        <w:rPr>
          <w:bCs/>
          <w:lang w:val="en-US"/>
        </w:rPr>
      </w:pPr>
      <w:r w:rsidRPr="00C21C6C">
        <w:rPr>
          <w:bCs/>
          <w:lang w:val="en-US"/>
        </w:rPr>
        <w:t xml:space="preserve">Repeal of </w:t>
      </w:r>
      <w:r w:rsidR="002E1558" w:rsidRPr="00C21C6C">
        <w:rPr>
          <w:bCs/>
          <w:lang w:val="en-US"/>
        </w:rPr>
        <w:t xml:space="preserve">the registered investment regime </w:t>
      </w:r>
      <w:r w:rsidRPr="00C21C6C">
        <w:rPr>
          <w:bCs/>
          <w:lang w:val="en-US"/>
        </w:rPr>
        <w:t xml:space="preserve">starting January 1, 2027. It is proposed under Budget 2025 that this regime be replaced </w:t>
      </w:r>
      <w:r w:rsidR="002E1558" w:rsidRPr="00C21C6C">
        <w:rPr>
          <w:bCs/>
          <w:lang w:val="en-US"/>
        </w:rPr>
        <w:t xml:space="preserve">with two new categories of qualified investments </w:t>
      </w:r>
      <w:r w:rsidRPr="00C21C6C">
        <w:rPr>
          <w:bCs/>
          <w:lang w:val="en-US"/>
        </w:rPr>
        <w:t xml:space="preserve">which would not </w:t>
      </w:r>
      <w:r w:rsidR="002E1558" w:rsidRPr="00C21C6C">
        <w:rPr>
          <w:bCs/>
          <w:lang w:val="en-US"/>
        </w:rPr>
        <w:t xml:space="preserve">involve </w:t>
      </w:r>
      <w:r w:rsidRPr="00C21C6C">
        <w:rPr>
          <w:bCs/>
          <w:lang w:val="en-US"/>
        </w:rPr>
        <w:t xml:space="preserve">or require </w:t>
      </w:r>
      <w:r w:rsidR="002E1558" w:rsidRPr="00C21C6C">
        <w:rPr>
          <w:bCs/>
          <w:lang w:val="en-US"/>
        </w:rPr>
        <w:t>registration</w:t>
      </w:r>
      <w:r w:rsidRPr="00C21C6C">
        <w:rPr>
          <w:bCs/>
          <w:lang w:val="en-US"/>
        </w:rPr>
        <w:t xml:space="preserve"> (i.e. </w:t>
      </w:r>
      <w:r w:rsidRPr="00182360">
        <w:rPr>
          <w:bCs/>
          <w:i/>
          <w:iCs/>
          <w:lang w:val="en-US"/>
        </w:rPr>
        <w:t>mostly trusts units which would be compliant with certain</w:t>
      </w:r>
      <w:r w:rsidR="00F857E5" w:rsidRPr="00182360">
        <w:rPr>
          <w:bCs/>
          <w:i/>
          <w:iCs/>
          <w:lang w:val="en-US"/>
        </w:rPr>
        <w:t xml:space="preserve"> </w:t>
      </w:r>
      <w:r w:rsidR="00F857E5" w:rsidRPr="00182360">
        <w:rPr>
          <w:bCs/>
          <w:i/>
          <w:iCs/>
          <w:lang w:val="en-US"/>
        </w:rPr>
        <w:lastRenderedPageBreak/>
        <w:t>requirements</w:t>
      </w:r>
      <w:r w:rsidR="002E1558" w:rsidRPr="00182360">
        <w:rPr>
          <w:bCs/>
          <w:i/>
          <w:iCs/>
          <w:lang w:val="en-US"/>
        </w:rPr>
        <w:t xml:space="preserve"> published by the Canadian Securities Administrators</w:t>
      </w:r>
      <w:r w:rsidR="00F857E5" w:rsidRPr="00C21C6C">
        <w:rPr>
          <w:bCs/>
          <w:lang w:val="en-US"/>
        </w:rPr>
        <w:t xml:space="preserve">). The replacement of the registered regime </w:t>
      </w:r>
      <w:r w:rsidR="00182360">
        <w:rPr>
          <w:bCs/>
          <w:lang w:val="en-US"/>
        </w:rPr>
        <w:t xml:space="preserve">in place </w:t>
      </w:r>
      <w:r w:rsidR="00F857E5" w:rsidRPr="00C21C6C">
        <w:rPr>
          <w:bCs/>
          <w:lang w:val="en-US"/>
        </w:rPr>
        <w:t>would not prevent</w:t>
      </w:r>
      <w:r w:rsidR="002E1558" w:rsidRPr="00C21C6C">
        <w:rPr>
          <w:bCs/>
          <w:lang w:val="en-US"/>
        </w:rPr>
        <w:t xml:space="preserve"> units or shares of funds that were registered investments </w:t>
      </w:r>
      <w:r w:rsidR="00F857E5" w:rsidRPr="00C21C6C">
        <w:rPr>
          <w:bCs/>
          <w:lang w:val="en-US"/>
        </w:rPr>
        <w:t xml:space="preserve">from </w:t>
      </w:r>
      <w:r w:rsidR="002E1558" w:rsidRPr="00C21C6C">
        <w:rPr>
          <w:bCs/>
          <w:lang w:val="en-US"/>
        </w:rPr>
        <w:t>continu</w:t>
      </w:r>
      <w:r w:rsidR="00F857E5" w:rsidRPr="00C21C6C">
        <w:rPr>
          <w:bCs/>
          <w:lang w:val="en-US"/>
        </w:rPr>
        <w:t>ing</w:t>
      </w:r>
      <w:r w:rsidR="002E1558" w:rsidRPr="00C21C6C">
        <w:rPr>
          <w:bCs/>
          <w:lang w:val="en-US"/>
        </w:rPr>
        <w:t xml:space="preserve"> to qualify, either under </w:t>
      </w:r>
      <w:r w:rsidR="00182360">
        <w:rPr>
          <w:bCs/>
          <w:lang w:val="en-US"/>
        </w:rPr>
        <w:t xml:space="preserve">the </w:t>
      </w:r>
      <w:r w:rsidR="002E1558" w:rsidRPr="00C21C6C">
        <w:rPr>
          <w:bCs/>
          <w:lang w:val="en-US"/>
        </w:rPr>
        <w:t xml:space="preserve">existing rules or under one or </w:t>
      </w:r>
      <w:proofErr w:type="gramStart"/>
      <w:r w:rsidR="002E1558" w:rsidRPr="00C21C6C">
        <w:rPr>
          <w:bCs/>
          <w:lang w:val="en-US"/>
        </w:rPr>
        <w:t>both of the new</w:t>
      </w:r>
      <w:proofErr w:type="gramEnd"/>
      <w:r w:rsidR="002E1558" w:rsidRPr="00C21C6C">
        <w:rPr>
          <w:bCs/>
          <w:lang w:val="en-US"/>
        </w:rPr>
        <w:t xml:space="preserve"> categories of qualified investment trusts. Th</w:t>
      </w:r>
      <w:r w:rsidR="00F857E5" w:rsidRPr="00C21C6C">
        <w:rPr>
          <w:b/>
          <w:bCs/>
          <w:lang w:val="en-US"/>
        </w:rPr>
        <w:t>ese</w:t>
      </w:r>
      <w:r w:rsidR="002E1558" w:rsidRPr="00C21C6C">
        <w:rPr>
          <w:bCs/>
          <w:lang w:val="en-US"/>
        </w:rPr>
        <w:t xml:space="preserve"> new qualified investment trust rules would apply as of 4 November 2025.</w:t>
      </w:r>
    </w:p>
    <w:p w14:paraId="0E97B2BF" w14:textId="7DA32501" w:rsidR="002E1558" w:rsidRPr="00C21C6C" w:rsidRDefault="00F857E5" w:rsidP="00CC70EA">
      <w:pPr>
        <w:pStyle w:val="Paragraphedeliste"/>
        <w:numPr>
          <w:ilvl w:val="0"/>
          <w:numId w:val="26"/>
        </w:numPr>
        <w:jc w:val="both"/>
        <w:rPr>
          <w:bCs/>
          <w:lang w:val="en-US"/>
        </w:rPr>
      </w:pPr>
      <w:r w:rsidRPr="00C21C6C">
        <w:rPr>
          <w:bCs/>
          <w:lang w:val="en-US"/>
        </w:rPr>
        <w:t xml:space="preserve">Consolidation of </w:t>
      </w:r>
      <w:r w:rsidR="002E1558" w:rsidRPr="00C21C6C">
        <w:rPr>
          <w:bCs/>
          <w:lang w:val="en-US"/>
        </w:rPr>
        <w:t xml:space="preserve">the qualified investment rules for six types of registered plans (i.e., all plans except deferred profit-sharing plans) </w:t>
      </w:r>
      <w:r w:rsidRPr="00C21C6C">
        <w:rPr>
          <w:bCs/>
          <w:lang w:val="en-US"/>
        </w:rPr>
        <w:t xml:space="preserve">into </w:t>
      </w:r>
      <w:r w:rsidR="002E1558" w:rsidRPr="00C21C6C">
        <w:rPr>
          <w:bCs/>
          <w:lang w:val="en-US"/>
        </w:rPr>
        <w:t xml:space="preserve">one definition in the Income Tax Act. </w:t>
      </w:r>
      <w:r w:rsidRPr="00C21C6C">
        <w:rPr>
          <w:bCs/>
          <w:lang w:val="en-US"/>
        </w:rPr>
        <w:t>Update and reorganization (</w:t>
      </w:r>
      <w:r w:rsidRPr="00182360">
        <w:rPr>
          <w:bCs/>
          <w:i/>
          <w:iCs/>
          <w:lang w:val="en-US"/>
        </w:rPr>
        <w:t>by asset class, such as debt or equity</w:t>
      </w:r>
      <w:r w:rsidRPr="00C21C6C">
        <w:rPr>
          <w:bCs/>
          <w:lang w:val="en-US"/>
        </w:rPr>
        <w:t>) would also be performed to provide greater clarity and administrative simplicity.</w:t>
      </w:r>
    </w:p>
    <w:p w14:paraId="3AD74B16" w14:textId="6CCD8F78" w:rsidR="001531CC" w:rsidRPr="00DB6501" w:rsidRDefault="00E208BD" w:rsidP="00103299">
      <w:pPr>
        <w:pStyle w:val="Titre1"/>
        <w:jc w:val="both"/>
        <w:rPr>
          <w:lang w:val="en-US"/>
        </w:rPr>
      </w:pPr>
      <w:bookmarkStart w:id="16" w:name="_Toc213427584"/>
      <w:r w:rsidRPr="00DB6501">
        <w:rPr>
          <w:lang w:val="en-US"/>
        </w:rPr>
        <w:t>Business Income Tax Measures</w:t>
      </w:r>
      <w:bookmarkEnd w:id="16"/>
    </w:p>
    <w:p w14:paraId="0295FFA7" w14:textId="204D0E3C" w:rsidR="009B0624" w:rsidRDefault="003B04C4" w:rsidP="00103299">
      <w:pPr>
        <w:jc w:val="both"/>
        <w:rPr>
          <w:lang w:val="en-US"/>
        </w:rPr>
      </w:pPr>
      <w:r w:rsidRPr="003B04C4">
        <w:rPr>
          <w:lang w:val="en-US"/>
        </w:rPr>
        <w:t xml:space="preserve">No changes were proposed to the </w:t>
      </w:r>
      <w:r w:rsidR="00333704">
        <w:rPr>
          <w:lang w:val="en-US"/>
        </w:rPr>
        <w:t xml:space="preserve">current Federal </w:t>
      </w:r>
      <w:r w:rsidRPr="003B04C4">
        <w:rPr>
          <w:lang w:val="en-US"/>
        </w:rPr>
        <w:t xml:space="preserve">corporate tax rates. </w:t>
      </w:r>
    </w:p>
    <w:p w14:paraId="032FC7A4" w14:textId="1590DB75" w:rsidR="003B04C4" w:rsidRPr="00306A53" w:rsidRDefault="003B04C4" w:rsidP="00103299">
      <w:pPr>
        <w:jc w:val="both"/>
        <w:rPr>
          <w:lang w:val="en-US"/>
        </w:rPr>
      </w:pPr>
      <w:r w:rsidRPr="00306A53">
        <w:rPr>
          <w:lang w:val="en-US"/>
        </w:rPr>
        <w:t>The Federal corporate income tax rates in Canada for 202</w:t>
      </w:r>
      <w:r w:rsidR="009B0624" w:rsidRPr="00306A53">
        <w:rPr>
          <w:lang w:val="en-US"/>
        </w:rPr>
        <w:t>5</w:t>
      </w:r>
      <w:r w:rsidRPr="00306A53">
        <w:rPr>
          <w:lang w:val="en-US"/>
        </w:rPr>
        <w:t xml:space="preserve"> are as follows:</w:t>
      </w:r>
    </w:p>
    <w:tbl>
      <w:tblPr>
        <w:tblpPr w:leftFromText="180" w:rightFromText="180" w:vertAnchor="page" w:horzAnchor="margin" w:tblpY="6581"/>
        <w:tblW w:w="10000" w:type="dxa"/>
        <w:tblCellMar>
          <w:left w:w="0" w:type="dxa"/>
          <w:right w:w="0" w:type="dxa"/>
        </w:tblCellMar>
        <w:tblLook w:val="04A0" w:firstRow="1" w:lastRow="0" w:firstColumn="1" w:lastColumn="0" w:noHBand="0" w:noVBand="1"/>
      </w:tblPr>
      <w:tblGrid>
        <w:gridCol w:w="7222"/>
        <w:gridCol w:w="2778"/>
      </w:tblGrid>
      <w:tr w:rsidR="00CC70EA" w:rsidRPr="008719C3" w14:paraId="11997C9F" w14:textId="77777777" w:rsidTr="00CC70EA">
        <w:trPr>
          <w:trHeight w:val="340"/>
          <w:tblHeader/>
        </w:trPr>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21DB6D9" w14:textId="77777777" w:rsidR="00CC70EA" w:rsidRPr="008719C3" w:rsidRDefault="00CC70EA" w:rsidP="00CC70EA">
            <w:pPr>
              <w:spacing w:after="0"/>
              <w:jc w:val="both"/>
              <w:rPr>
                <w:b/>
                <w:bCs/>
                <w:sz w:val="22"/>
                <w:szCs w:val="22"/>
              </w:rPr>
            </w:pPr>
            <w:r w:rsidRPr="008719C3">
              <w:rPr>
                <w:b/>
                <w:bCs/>
                <w:sz w:val="22"/>
                <w:szCs w:val="22"/>
              </w:rPr>
              <w:t>Type of corporation</w:t>
            </w:r>
          </w:p>
        </w:tc>
        <w:tc>
          <w:tcPr>
            <w:tcW w:w="277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8FC496B" w14:textId="77777777" w:rsidR="00CC70EA" w:rsidRPr="008719C3" w:rsidRDefault="00CC70EA" w:rsidP="00CC70EA">
            <w:pPr>
              <w:spacing w:after="0"/>
              <w:jc w:val="both"/>
              <w:rPr>
                <w:sz w:val="22"/>
                <w:szCs w:val="22"/>
              </w:rPr>
            </w:pPr>
            <w:proofErr w:type="spellStart"/>
            <w:r w:rsidRPr="008719C3">
              <w:rPr>
                <w:b/>
                <w:bCs/>
                <w:sz w:val="22"/>
                <w:szCs w:val="22"/>
              </w:rPr>
              <w:t>Federal</w:t>
            </w:r>
            <w:proofErr w:type="spellEnd"/>
            <w:r w:rsidRPr="008719C3">
              <w:rPr>
                <w:b/>
                <w:bCs/>
                <w:sz w:val="22"/>
                <w:szCs w:val="22"/>
              </w:rPr>
              <w:t xml:space="preserve"> </w:t>
            </w:r>
            <w:proofErr w:type="spellStart"/>
            <w:r w:rsidRPr="008719C3">
              <w:rPr>
                <w:b/>
                <w:bCs/>
                <w:sz w:val="22"/>
                <w:szCs w:val="22"/>
              </w:rPr>
              <w:t>Tax</w:t>
            </w:r>
            <w:proofErr w:type="spellEnd"/>
            <w:r w:rsidRPr="008719C3">
              <w:rPr>
                <w:b/>
                <w:bCs/>
                <w:sz w:val="22"/>
                <w:szCs w:val="22"/>
              </w:rPr>
              <w:t xml:space="preserve"> Rate</w:t>
            </w:r>
          </w:p>
        </w:tc>
      </w:tr>
      <w:tr w:rsidR="00CC70EA" w:rsidRPr="008719C3" w14:paraId="60D0D729" w14:textId="77777777" w:rsidTr="00CC70EA">
        <w:trPr>
          <w:trHeight w:val="340"/>
        </w:trPr>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84E95B6" w14:textId="77777777" w:rsidR="00CC70EA" w:rsidRPr="008719C3" w:rsidRDefault="00CC70EA" w:rsidP="00CC70EA">
            <w:pPr>
              <w:spacing w:after="0"/>
              <w:jc w:val="both"/>
              <w:rPr>
                <w:sz w:val="22"/>
                <w:szCs w:val="22"/>
                <w:lang w:val="en-US"/>
              </w:rPr>
            </w:pPr>
            <w:r w:rsidRPr="008719C3">
              <w:rPr>
                <w:sz w:val="22"/>
                <w:szCs w:val="22"/>
                <w:lang w:val="en-US"/>
              </w:rPr>
              <w:t>General Corporate Income Tax Rate</w:t>
            </w:r>
          </w:p>
        </w:tc>
        <w:tc>
          <w:tcPr>
            <w:tcW w:w="277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09D23891" w14:textId="77777777" w:rsidR="00CC70EA" w:rsidRPr="008719C3" w:rsidRDefault="00CC70EA" w:rsidP="00CC70EA">
            <w:pPr>
              <w:spacing w:after="0"/>
              <w:jc w:val="both"/>
              <w:rPr>
                <w:sz w:val="22"/>
                <w:szCs w:val="22"/>
              </w:rPr>
            </w:pPr>
            <w:r w:rsidRPr="008719C3">
              <w:rPr>
                <w:sz w:val="22"/>
                <w:szCs w:val="22"/>
              </w:rPr>
              <w:t>15.0 %</w:t>
            </w:r>
          </w:p>
        </w:tc>
      </w:tr>
      <w:tr w:rsidR="00CC70EA" w:rsidRPr="008719C3" w14:paraId="67DFB063" w14:textId="77777777" w:rsidTr="00CC70EA">
        <w:trPr>
          <w:trHeight w:val="340"/>
        </w:trPr>
        <w:tc>
          <w:tcPr>
            <w:tcW w:w="722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46DB1A7C" w14:textId="77777777" w:rsidR="00CC70EA" w:rsidRPr="008719C3" w:rsidRDefault="00CC70EA" w:rsidP="00CC70EA">
            <w:pPr>
              <w:spacing w:after="0"/>
              <w:jc w:val="both"/>
              <w:rPr>
                <w:sz w:val="22"/>
                <w:szCs w:val="22"/>
                <w:lang w:val="en-US"/>
              </w:rPr>
            </w:pPr>
            <w:r w:rsidRPr="008719C3">
              <w:rPr>
                <w:sz w:val="22"/>
                <w:szCs w:val="22"/>
                <w:lang w:val="en-US"/>
              </w:rPr>
              <w:t>Small Business Tax Rate on the first 500,000 of taxable income</w:t>
            </w:r>
          </w:p>
        </w:tc>
        <w:tc>
          <w:tcPr>
            <w:tcW w:w="277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bottom"/>
            <w:hideMark/>
          </w:tcPr>
          <w:p w14:paraId="5E93D1AD" w14:textId="77777777" w:rsidR="00CC70EA" w:rsidRPr="008719C3" w:rsidRDefault="00CC70EA" w:rsidP="00CC70EA">
            <w:pPr>
              <w:spacing w:after="0"/>
              <w:jc w:val="both"/>
              <w:rPr>
                <w:sz w:val="22"/>
                <w:szCs w:val="22"/>
              </w:rPr>
            </w:pPr>
            <w:r w:rsidRPr="008719C3">
              <w:rPr>
                <w:sz w:val="22"/>
                <w:szCs w:val="22"/>
              </w:rPr>
              <w:t>9.00 %</w:t>
            </w:r>
          </w:p>
        </w:tc>
      </w:tr>
    </w:tbl>
    <w:p w14:paraId="664AF8E7" w14:textId="77777777" w:rsidR="003B04C4" w:rsidRDefault="003B04C4" w:rsidP="00103299">
      <w:pPr>
        <w:jc w:val="both"/>
      </w:pPr>
    </w:p>
    <w:p w14:paraId="61C4D172" w14:textId="4A1F817D" w:rsidR="001531CC" w:rsidRPr="00E208BD" w:rsidRDefault="00E208BD" w:rsidP="00103299">
      <w:pPr>
        <w:pStyle w:val="Titre2"/>
        <w:jc w:val="both"/>
        <w:rPr>
          <w:lang w:val="en-US"/>
        </w:rPr>
      </w:pPr>
      <w:bookmarkStart w:id="17" w:name="_Toc213427585"/>
      <w:r w:rsidRPr="00E208BD">
        <w:rPr>
          <w:lang w:val="en-US"/>
        </w:rPr>
        <w:t>Immediate Expensing for Manufacturing and Processing Buildings</w:t>
      </w:r>
      <w:bookmarkEnd w:id="17"/>
    </w:p>
    <w:p w14:paraId="072FCFBC" w14:textId="19E4B969" w:rsidR="001D6D64" w:rsidRPr="001D6D64" w:rsidRDefault="001D6D64" w:rsidP="00103299">
      <w:pPr>
        <w:jc w:val="both"/>
        <w:rPr>
          <w:lang w:val="en-US"/>
        </w:rPr>
      </w:pPr>
      <w:r w:rsidRPr="001D6D64">
        <w:rPr>
          <w:lang w:val="en-US"/>
        </w:rPr>
        <w:t>Under the current rules, when a corporation acquires an eligible building</w:t>
      </w:r>
      <w:r w:rsidR="00333704">
        <w:rPr>
          <w:lang w:val="en-US"/>
        </w:rPr>
        <w:t>,</w:t>
      </w:r>
      <w:r w:rsidRPr="001D6D64">
        <w:rPr>
          <w:lang w:val="en-US"/>
        </w:rPr>
        <w:t xml:space="preserve"> which at least 90% of the floor space is used for manufacturing or processing goods </w:t>
      </w:r>
      <w:r w:rsidR="00333704">
        <w:rPr>
          <w:lang w:val="en-US"/>
        </w:rPr>
        <w:t xml:space="preserve">for sale or lease </w:t>
      </w:r>
      <w:r w:rsidRPr="001D6D64">
        <w:rPr>
          <w:lang w:val="en-US"/>
        </w:rPr>
        <w:t>in Canada, it may claim a capital cost allowance (CCA) deduction equal to 10% of the building’s capital cost.</w:t>
      </w:r>
    </w:p>
    <w:p w14:paraId="5041080F" w14:textId="4432C66A" w:rsidR="001D6D64" w:rsidRPr="001D6D64" w:rsidRDefault="001D6D64" w:rsidP="00103299">
      <w:pPr>
        <w:jc w:val="both"/>
        <w:rPr>
          <w:lang w:val="en-US"/>
        </w:rPr>
      </w:pPr>
      <w:r w:rsidRPr="001D6D64">
        <w:rPr>
          <w:lang w:val="en-US"/>
        </w:rPr>
        <w:t>To</w:t>
      </w:r>
      <w:r w:rsidR="00333704">
        <w:rPr>
          <w:lang w:val="en-US"/>
        </w:rPr>
        <w:t xml:space="preserve"> promote</w:t>
      </w:r>
      <w:r w:rsidRPr="001D6D64">
        <w:rPr>
          <w:lang w:val="en-US"/>
        </w:rPr>
        <w:t xml:space="preserve"> new investment</w:t>
      </w:r>
      <w:r w:rsidR="00333704">
        <w:rPr>
          <w:lang w:val="en-US"/>
        </w:rPr>
        <w:t>s</w:t>
      </w:r>
      <w:r w:rsidRPr="001D6D64">
        <w:rPr>
          <w:lang w:val="en-US"/>
        </w:rPr>
        <w:t xml:space="preserve"> in the manufacturing sector, Budget</w:t>
      </w:r>
      <w:r w:rsidR="0020250D">
        <w:rPr>
          <w:lang w:val="en-US"/>
        </w:rPr>
        <w:t xml:space="preserve"> 2025</w:t>
      </w:r>
      <w:r w:rsidRPr="001D6D64">
        <w:rPr>
          <w:lang w:val="en-US"/>
        </w:rPr>
        <w:t xml:space="preserve"> introduces a temporary measure that would allow businesses to immediately expense the entire cost of an eligible building, as well as the cost of qualifying additions</w:t>
      </w:r>
      <w:r w:rsidR="00333704">
        <w:rPr>
          <w:lang w:val="en-US"/>
        </w:rPr>
        <w:t xml:space="preserve">, </w:t>
      </w:r>
      <w:r w:rsidRPr="001D6D64">
        <w:rPr>
          <w:lang w:val="en-US"/>
        </w:rPr>
        <w:t xml:space="preserve">improvements </w:t>
      </w:r>
      <w:r w:rsidR="00333704">
        <w:rPr>
          <w:lang w:val="en-US"/>
        </w:rPr>
        <w:t xml:space="preserve">or alterations </w:t>
      </w:r>
      <w:r w:rsidRPr="001D6D64">
        <w:rPr>
          <w:lang w:val="en-US"/>
        </w:rPr>
        <w:t>made to such property.</w:t>
      </w:r>
    </w:p>
    <w:p w14:paraId="69DEFA18" w14:textId="6140E55B" w:rsidR="001D6D64" w:rsidRPr="001D6D64" w:rsidRDefault="001D6D64" w:rsidP="00103299">
      <w:pPr>
        <w:jc w:val="both"/>
        <w:rPr>
          <w:lang w:val="en-US"/>
        </w:rPr>
      </w:pPr>
      <w:r w:rsidRPr="001D6D64">
        <w:rPr>
          <w:lang w:val="en-US"/>
        </w:rPr>
        <w:t xml:space="preserve">To qualify, the building must be acquired </w:t>
      </w:r>
      <w:r w:rsidR="00333704">
        <w:rPr>
          <w:lang w:val="en-US"/>
        </w:rPr>
        <w:t xml:space="preserve">on or </w:t>
      </w:r>
      <w:r w:rsidRPr="001D6D64">
        <w:rPr>
          <w:lang w:val="en-US"/>
        </w:rPr>
        <w:t xml:space="preserve">after </w:t>
      </w:r>
      <w:r w:rsidR="009E1A8C">
        <w:rPr>
          <w:lang w:val="en-US"/>
        </w:rPr>
        <w:t>Budget Day 2025</w:t>
      </w:r>
      <w:r w:rsidRPr="001D6D64">
        <w:rPr>
          <w:lang w:val="en-US"/>
        </w:rPr>
        <w:t>, and the</w:t>
      </w:r>
      <w:r w:rsidR="00333704">
        <w:rPr>
          <w:lang w:val="en-US"/>
        </w:rPr>
        <w:t xml:space="preserve"> entire </w:t>
      </w:r>
      <w:r w:rsidRPr="001D6D64">
        <w:rPr>
          <w:lang w:val="en-US"/>
        </w:rPr>
        <w:t>deduction may be claimed in the first taxation year in which the building is put into use for manufacturing or processing activities, provided this occurs before 2030.</w:t>
      </w:r>
    </w:p>
    <w:p w14:paraId="2A2D51F9" w14:textId="3DF83FE3" w:rsidR="001D6D64" w:rsidRPr="001D6D64" w:rsidRDefault="001D6D64" w:rsidP="00103299">
      <w:pPr>
        <w:jc w:val="both"/>
        <w:rPr>
          <w:lang w:val="en-US"/>
        </w:rPr>
      </w:pPr>
      <w:r w:rsidRPr="001D6D64">
        <w:rPr>
          <w:lang w:val="en-US"/>
        </w:rPr>
        <w:t xml:space="preserve">Buildings already in use or acquired </w:t>
      </w:r>
      <w:r w:rsidR="00333704">
        <w:rPr>
          <w:lang w:val="en-US"/>
        </w:rPr>
        <w:t xml:space="preserve">for any purpose before </w:t>
      </w:r>
      <w:r w:rsidR="00F76721">
        <w:rPr>
          <w:lang w:val="en-US"/>
        </w:rPr>
        <w:t>they are</w:t>
      </w:r>
      <w:r w:rsidR="00333704">
        <w:rPr>
          <w:lang w:val="en-US"/>
        </w:rPr>
        <w:t xml:space="preserve"> acquired by the taxpayer</w:t>
      </w:r>
      <w:r w:rsidRPr="001D6D64">
        <w:rPr>
          <w:lang w:val="en-US"/>
        </w:rPr>
        <w:t xml:space="preserve"> would qualify only if</w:t>
      </w:r>
      <w:r w:rsidR="00F76721">
        <w:rPr>
          <w:lang w:val="en-US"/>
        </w:rPr>
        <w:t xml:space="preserve"> both of the following conditions are met</w:t>
      </w:r>
      <w:r w:rsidRPr="001D6D64">
        <w:rPr>
          <w:lang w:val="en-US"/>
        </w:rPr>
        <w:t>:</w:t>
      </w:r>
    </w:p>
    <w:p w14:paraId="27AE7C79" w14:textId="2827AADD" w:rsidR="001D6D64" w:rsidRPr="001D6D64" w:rsidRDefault="00333704" w:rsidP="001B6A30">
      <w:pPr>
        <w:numPr>
          <w:ilvl w:val="0"/>
          <w:numId w:val="13"/>
        </w:numPr>
        <w:spacing w:after="0"/>
        <w:jc w:val="both"/>
        <w:rPr>
          <w:lang w:val="en-US"/>
        </w:rPr>
      </w:pPr>
      <w:r>
        <w:rPr>
          <w:lang w:val="en-US"/>
        </w:rPr>
        <w:t xml:space="preserve">Neither the acquiror </w:t>
      </w:r>
      <w:r w:rsidR="00F76721">
        <w:rPr>
          <w:lang w:val="en-US"/>
        </w:rPr>
        <w:t>nor</w:t>
      </w:r>
      <w:r>
        <w:rPr>
          <w:lang w:val="en-US"/>
        </w:rPr>
        <w:t xml:space="preserve"> </w:t>
      </w:r>
      <w:r w:rsidR="00F76721">
        <w:rPr>
          <w:lang w:val="en-US"/>
        </w:rPr>
        <w:t xml:space="preserve">any </w:t>
      </w:r>
      <w:r>
        <w:rPr>
          <w:lang w:val="en-US"/>
        </w:rPr>
        <w:t xml:space="preserve">person </w:t>
      </w:r>
      <w:r w:rsidR="00F76721">
        <w:rPr>
          <w:lang w:val="en-US"/>
        </w:rPr>
        <w:t xml:space="preserve">not </w:t>
      </w:r>
      <w:r w:rsidR="001D6D64" w:rsidRPr="001D6D64">
        <w:rPr>
          <w:lang w:val="en-US"/>
        </w:rPr>
        <w:t>dealing at arm’s length with</w:t>
      </w:r>
      <w:r w:rsidR="00F76721">
        <w:rPr>
          <w:lang w:val="en-US"/>
        </w:rPr>
        <w:t xml:space="preserve"> such </w:t>
      </w:r>
      <w:proofErr w:type="gramStart"/>
      <w:r w:rsidR="00F76721">
        <w:rPr>
          <w:lang w:val="en-US"/>
        </w:rPr>
        <w:t>taxpayer</w:t>
      </w:r>
      <w:proofErr w:type="gramEnd"/>
      <w:r w:rsidR="00F76721">
        <w:rPr>
          <w:lang w:val="en-US"/>
        </w:rPr>
        <w:t xml:space="preserve"> owned the property before that time</w:t>
      </w:r>
      <w:r w:rsidR="001D6D64" w:rsidRPr="001D6D64">
        <w:rPr>
          <w:lang w:val="en-US"/>
        </w:rPr>
        <w:t>, and</w:t>
      </w:r>
    </w:p>
    <w:p w14:paraId="6BE9FE94" w14:textId="141A08CC" w:rsidR="001D6D64" w:rsidRPr="001D6D64" w:rsidRDefault="00F76721" w:rsidP="001B6A30">
      <w:pPr>
        <w:numPr>
          <w:ilvl w:val="0"/>
          <w:numId w:val="13"/>
        </w:numPr>
        <w:jc w:val="both"/>
        <w:rPr>
          <w:lang w:val="en-US"/>
        </w:rPr>
      </w:pPr>
      <w:r>
        <w:rPr>
          <w:lang w:val="en-US"/>
        </w:rPr>
        <w:lastRenderedPageBreak/>
        <w:t xml:space="preserve">The property was not transferred as </w:t>
      </w:r>
      <w:r w:rsidR="001D6D64" w:rsidRPr="001D6D64">
        <w:rPr>
          <w:lang w:val="en-US"/>
        </w:rPr>
        <w:t>part of a tax-deferred rollover.</w:t>
      </w:r>
    </w:p>
    <w:p w14:paraId="0AD85EB1" w14:textId="35A41395" w:rsidR="001D6D64" w:rsidRPr="001D6D64" w:rsidRDefault="001D6D64" w:rsidP="00CC70EA">
      <w:pPr>
        <w:jc w:val="both"/>
        <w:rPr>
          <w:lang w:val="en-US"/>
        </w:rPr>
      </w:pPr>
      <w:r w:rsidRPr="001D6D64">
        <w:rPr>
          <w:lang w:val="en-US"/>
        </w:rPr>
        <w:t>If a building that benefited from</w:t>
      </w:r>
      <w:r w:rsidR="00333704">
        <w:rPr>
          <w:lang w:val="en-US"/>
        </w:rPr>
        <w:t xml:space="preserve"> this incentive</w:t>
      </w:r>
      <w:r w:rsidRPr="001D6D64">
        <w:rPr>
          <w:lang w:val="en-US"/>
        </w:rPr>
        <w:t xml:space="preserve"> is later used for other purposes, recapture rules would apply, requiring the corporation to add back part of the previously deducted amount to its taxable income.</w:t>
      </w:r>
    </w:p>
    <w:p w14:paraId="29B56792" w14:textId="7A4FE1F1" w:rsidR="001D6D64" w:rsidRDefault="001D6D64" w:rsidP="00103299">
      <w:pPr>
        <w:jc w:val="both"/>
        <w:rPr>
          <w:lang w:val="en-US"/>
        </w:rPr>
      </w:pPr>
      <w:r w:rsidRPr="001D6D64">
        <w:rPr>
          <w:lang w:val="en-US"/>
        </w:rPr>
        <w:t>Th</w:t>
      </w:r>
      <w:r w:rsidR="00F76721">
        <w:rPr>
          <w:lang w:val="en-US"/>
        </w:rPr>
        <w:t xml:space="preserve">is measure </w:t>
      </w:r>
      <w:r w:rsidRPr="001D6D64">
        <w:rPr>
          <w:lang w:val="en-US"/>
        </w:rPr>
        <w:t>w</w:t>
      </w:r>
      <w:r w:rsidR="00E055F5">
        <w:rPr>
          <w:lang w:val="en-US"/>
        </w:rPr>
        <w:t>ould</w:t>
      </w:r>
      <w:r w:rsidRPr="001D6D64">
        <w:rPr>
          <w:lang w:val="en-US"/>
        </w:rPr>
        <w:t xml:space="preserve"> then be phased out gradually according t</w:t>
      </w:r>
      <w:r w:rsidR="001A69E4">
        <w:rPr>
          <w:lang w:val="en-US"/>
        </w:rPr>
        <w:t>o the</w:t>
      </w:r>
      <w:r>
        <w:rPr>
          <w:lang w:val="en-US"/>
        </w:rPr>
        <w:t xml:space="preserve"> following</w:t>
      </w:r>
      <w:r w:rsidRPr="001D6D64">
        <w:rPr>
          <w:lang w:val="en-US"/>
        </w:rPr>
        <w:t xml:space="preserve"> </w:t>
      </w:r>
      <w:r w:rsidR="00FB086E" w:rsidRPr="001D6D64">
        <w:rPr>
          <w:lang w:val="en-US"/>
        </w:rPr>
        <w:t>schedule</w:t>
      </w:r>
      <w:r w:rsidR="00FB086E">
        <w:rPr>
          <w:lang w:val="en-US"/>
        </w:rPr>
        <w:t>:</w:t>
      </w:r>
    </w:p>
    <w:tbl>
      <w:tblPr>
        <w:tblStyle w:val="Grilledutableau"/>
        <w:tblW w:w="0" w:type="auto"/>
        <w:tblLook w:val="04A0" w:firstRow="1" w:lastRow="0" w:firstColumn="1" w:lastColumn="0" w:noHBand="0" w:noVBand="1"/>
      </w:tblPr>
      <w:tblGrid>
        <w:gridCol w:w="1990"/>
        <w:gridCol w:w="2450"/>
      </w:tblGrid>
      <w:tr w:rsidR="00CD0E13" w:rsidRPr="00CD0E13" w14:paraId="32BA6EF6" w14:textId="77777777" w:rsidTr="00CD0E13">
        <w:tc>
          <w:tcPr>
            <w:tcW w:w="0" w:type="auto"/>
            <w:hideMark/>
          </w:tcPr>
          <w:p w14:paraId="6DB41731" w14:textId="77777777" w:rsidR="00CD0E13" w:rsidRPr="00CD0E13" w:rsidRDefault="00CD0E13" w:rsidP="00103299">
            <w:pPr>
              <w:spacing w:after="160" w:line="278" w:lineRule="auto"/>
              <w:jc w:val="both"/>
              <w:rPr>
                <w:b/>
                <w:bCs/>
              </w:rPr>
            </w:pPr>
            <w:proofErr w:type="spellStart"/>
            <w:r w:rsidRPr="00CD0E13">
              <w:rPr>
                <w:b/>
                <w:bCs/>
              </w:rPr>
              <w:t>Period</w:t>
            </w:r>
            <w:proofErr w:type="spellEnd"/>
          </w:p>
        </w:tc>
        <w:tc>
          <w:tcPr>
            <w:tcW w:w="0" w:type="auto"/>
            <w:hideMark/>
          </w:tcPr>
          <w:p w14:paraId="30EA9748" w14:textId="77777777" w:rsidR="00CD0E13" w:rsidRPr="00CD0E13" w:rsidRDefault="00CD0E13" w:rsidP="00103299">
            <w:pPr>
              <w:spacing w:after="160" w:line="278" w:lineRule="auto"/>
              <w:jc w:val="both"/>
              <w:rPr>
                <w:b/>
                <w:bCs/>
              </w:rPr>
            </w:pPr>
            <w:proofErr w:type="spellStart"/>
            <w:r w:rsidRPr="00CD0E13">
              <w:rPr>
                <w:b/>
                <w:bCs/>
              </w:rPr>
              <w:t>Immediate</w:t>
            </w:r>
            <w:proofErr w:type="spellEnd"/>
            <w:r w:rsidRPr="00CD0E13">
              <w:rPr>
                <w:b/>
                <w:bCs/>
              </w:rPr>
              <w:t xml:space="preserve"> </w:t>
            </w:r>
            <w:proofErr w:type="spellStart"/>
            <w:r w:rsidRPr="00CD0E13">
              <w:rPr>
                <w:b/>
                <w:bCs/>
              </w:rPr>
              <w:t>Expensing</w:t>
            </w:r>
            <w:proofErr w:type="spellEnd"/>
          </w:p>
        </w:tc>
      </w:tr>
      <w:tr w:rsidR="00CD0E13" w:rsidRPr="00CD0E13" w14:paraId="656AE330" w14:textId="77777777" w:rsidTr="00CD0E13">
        <w:tc>
          <w:tcPr>
            <w:tcW w:w="0" w:type="auto"/>
            <w:hideMark/>
          </w:tcPr>
          <w:p w14:paraId="353FA9FC" w14:textId="77777777" w:rsidR="00CD0E13" w:rsidRPr="00CD0E13" w:rsidRDefault="00CD0E13" w:rsidP="00103299">
            <w:pPr>
              <w:spacing w:after="160" w:line="278" w:lineRule="auto"/>
              <w:jc w:val="both"/>
            </w:pPr>
            <w:r w:rsidRPr="00CD0E13">
              <w:rPr>
                <w:b/>
                <w:bCs/>
              </w:rPr>
              <w:t>2025 to 2029</w:t>
            </w:r>
          </w:p>
        </w:tc>
        <w:tc>
          <w:tcPr>
            <w:tcW w:w="0" w:type="auto"/>
            <w:hideMark/>
          </w:tcPr>
          <w:p w14:paraId="6669017C" w14:textId="77777777" w:rsidR="00CD0E13" w:rsidRPr="00CD0E13" w:rsidRDefault="00CD0E13" w:rsidP="00103299">
            <w:pPr>
              <w:spacing w:after="160" w:line="278" w:lineRule="auto"/>
              <w:jc w:val="both"/>
            </w:pPr>
            <w:r w:rsidRPr="00CD0E13">
              <w:t>100 %</w:t>
            </w:r>
          </w:p>
        </w:tc>
      </w:tr>
      <w:tr w:rsidR="00CD0E13" w:rsidRPr="00CD0E13" w14:paraId="725AFE17" w14:textId="77777777" w:rsidTr="00CD0E13">
        <w:tc>
          <w:tcPr>
            <w:tcW w:w="0" w:type="auto"/>
            <w:hideMark/>
          </w:tcPr>
          <w:p w14:paraId="509A8CEA" w14:textId="77777777" w:rsidR="00CD0E13" w:rsidRPr="00CD0E13" w:rsidRDefault="00CD0E13" w:rsidP="00103299">
            <w:pPr>
              <w:spacing w:after="160" w:line="278" w:lineRule="auto"/>
              <w:jc w:val="both"/>
            </w:pPr>
            <w:r w:rsidRPr="00CD0E13">
              <w:rPr>
                <w:b/>
                <w:bCs/>
              </w:rPr>
              <w:t>2030 and 2031</w:t>
            </w:r>
          </w:p>
        </w:tc>
        <w:tc>
          <w:tcPr>
            <w:tcW w:w="0" w:type="auto"/>
            <w:hideMark/>
          </w:tcPr>
          <w:p w14:paraId="541CDD1A" w14:textId="77777777" w:rsidR="00CD0E13" w:rsidRPr="00CD0E13" w:rsidRDefault="00CD0E13" w:rsidP="00103299">
            <w:pPr>
              <w:spacing w:after="160" w:line="278" w:lineRule="auto"/>
              <w:jc w:val="both"/>
            </w:pPr>
            <w:r w:rsidRPr="00CD0E13">
              <w:t>75 %</w:t>
            </w:r>
          </w:p>
        </w:tc>
      </w:tr>
      <w:tr w:rsidR="00CD0E13" w:rsidRPr="00CD0E13" w14:paraId="30139131" w14:textId="77777777" w:rsidTr="00CD0E13">
        <w:tc>
          <w:tcPr>
            <w:tcW w:w="0" w:type="auto"/>
            <w:hideMark/>
          </w:tcPr>
          <w:p w14:paraId="27D2BBC8" w14:textId="77777777" w:rsidR="00CD0E13" w:rsidRPr="00CD0E13" w:rsidRDefault="00CD0E13" w:rsidP="00103299">
            <w:pPr>
              <w:spacing w:after="160" w:line="278" w:lineRule="auto"/>
              <w:jc w:val="both"/>
            </w:pPr>
            <w:r w:rsidRPr="00CD0E13">
              <w:rPr>
                <w:b/>
                <w:bCs/>
              </w:rPr>
              <w:t>2032 and 2033</w:t>
            </w:r>
          </w:p>
        </w:tc>
        <w:tc>
          <w:tcPr>
            <w:tcW w:w="0" w:type="auto"/>
            <w:hideMark/>
          </w:tcPr>
          <w:p w14:paraId="5A7AB235" w14:textId="77777777" w:rsidR="00CD0E13" w:rsidRPr="00CD0E13" w:rsidRDefault="00CD0E13" w:rsidP="00103299">
            <w:pPr>
              <w:spacing w:after="160" w:line="278" w:lineRule="auto"/>
              <w:jc w:val="both"/>
            </w:pPr>
            <w:r w:rsidRPr="00CD0E13">
              <w:t>55 %</w:t>
            </w:r>
          </w:p>
        </w:tc>
      </w:tr>
      <w:tr w:rsidR="00CD0E13" w:rsidRPr="00CD0E13" w14:paraId="719AC11B" w14:textId="77777777" w:rsidTr="00CD0E13">
        <w:tc>
          <w:tcPr>
            <w:tcW w:w="0" w:type="auto"/>
            <w:hideMark/>
          </w:tcPr>
          <w:p w14:paraId="79B5DAE4" w14:textId="77777777" w:rsidR="00CD0E13" w:rsidRPr="00CD0E13" w:rsidRDefault="00CD0E13" w:rsidP="00103299">
            <w:pPr>
              <w:spacing w:after="160" w:line="278" w:lineRule="auto"/>
              <w:jc w:val="both"/>
            </w:pPr>
            <w:r w:rsidRPr="00CD0E13">
              <w:rPr>
                <w:b/>
                <w:bCs/>
              </w:rPr>
              <w:t xml:space="preserve">2034 and </w:t>
            </w:r>
            <w:proofErr w:type="spellStart"/>
            <w:r w:rsidRPr="00CD0E13">
              <w:rPr>
                <w:b/>
                <w:bCs/>
              </w:rPr>
              <w:t>onward</w:t>
            </w:r>
            <w:proofErr w:type="spellEnd"/>
          </w:p>
        </w:tc>
        <w:tc>
          <w:tcPr>
            <w:tcW w:w="0" w:type="auto"/>
            <w:hideMark/>
          </w:tcPr>
          <w:p w14:paraId="509B51B7" w14:textId="77777777" w:rsidR="00CD0E13" w:rsidRPr="00CD0E13" w:rsidRDefault="00CD0E13" w:rsidP="00103299">
            <w:pPr>
              <w:spacing w:after="160" w:line="278" w:lineRule="auto"/>
              <w:jc w:val="both"/>
            </w:pPr>
            <w:r w:rsidRPr="00CD0E13">
              <w:t>Regular rate</w:t>
            </w:r>
          </w:p>
        </w:tc>
      </w:tr>
    </w:tbl>
    <w:p w14:paraId="23DCEFFD" w14:textId="77777777" w:rsidR="001531CC" w:rsidRPr="00CD0E13" w:rsidRDefault="001531CC" w:rsidP="00103299">
      <w:pPr>
        <w:jc w:val="both"/>
        <w:rPr>
          <w:lang w:val="en-US"/>
        </w:rPr>
      </w:pPr>
    </w:p>
    <w:p w14:paraId="15B197E6" w14:textId="0A6A878F" w:rsidR="001531CC" w:rsidRPr="00317854" w:rsidRDefault="00317854" w:rsidP="00103299">
      <w:pPr>
        <w:pStyle w:val="Titre2"/>
        <w:jc w:val="both"/>
        <w:rPr>
          <w:lang w:val="en-US"/>
        </w:rPr>
      </w:pPr>
      <w:bookmarkStart w:id="18" w:name="_Toc213427586"/>
      <w:r w:rsidRPr="00317854">
        <w:rPr>
          <w:lang w:val="en-US"/>
        </w:rPr>
        <w:t xml:space="preserve">Scientific Research and Experimental Development </w:t>
      </w:r>
      <w:r w:rsidR="001C7DA4">
        <w:rPr>
          <w:lang w:val="en-US"/>
        </w:rPr>
        <w:t xml:space="preserve">(“SR&amp;ED”) </w:t>
      </w:r>
      <w:r w:rsidRPr="00317854">
        <w:rPr>
          <w:lang w:val="en-US"/>
        </w:rPr>
        <w:t>Tax Incentive Program</w:t>
      </w:r>
      <w:bookmarkEnd w:id="18"/>
    </w:p>
    <w:p w14:paraId="5AC0F799" w14:textId="13CBAD55" w:rsidR="003878BF" w:rsidRPr="003878BF" w:rsidRDefault="003878BF" w:rsidP="003878BF">
      <w:pPr>
        <w:jc w:val="both"/>
        <w:rPr>
          <w:lang w:val="en-US"/>
        </w:rPr>
      </w:pPr>
      <w:r w:rsidRPr="003878BF">
        <w:rPr>
          <w:lang w:val="en-US"/>
        </w:rPr>
        <w:t>Budget 2025 confirms the government’s intention to proceed with the enhancements to the SR&amp;ED program previously announced in the 2024 Fall Economic Statement, including increased expenditure limit, higher phase-out thresholds, and the restoration of capital expenditure</w:t>
      </w:r>
      <w:r w:rsidR="00182360">
        <w:rPr>
          <w:lang w:val="en-US"/>
        </w:rPr>
        <w:t>s</w:t>
      </w:r>
      <w:r w:rsidRPr="003878BF">
        <w:rPr>
          <w:lang w:val="en-US"/>
        </w:rPr>
        <w:t xml:space="preserve"> eligibility for SR&amp;ED tax credits.</w:t>
      </w:r>
    </w:p>
    <w:p w14:paraId="37E79754" w14:textId="0532DF72" w:rsidR="003878BF" w:rsidRPr="003878BF" w:rsidRDefault="003878BF" w:rsidP="003878BF">
      <w:pPr>
        <w:jc w:val="both"/>
        <w:rPr>
          <w:lang w:val="en-US"/>
        </w:rPr>
      </w:pPr>
      <w:r w:rsidRPr="003878BF">
        <w:rPr>
          <w:lang w:val="en-US"/>
        </w:rPr>
        <w:t xml:space="preserve">In addition, Budget 2025 </w:t>
      </w:r>
      <w:r w:rsidR="00182360">
        <w:rPr>
          <w:lang w:val="en-US"/>
        </w:rPr>
        <w:t xml:space="preserve">also </w:t>
      </w:r>
      <w:r w:rsidRPr="003878BF">
        <w:rPr>
          <w:lang w:val="en-US"/>
        </w:rPr>
        <w:t>proposes:</w:t>
      </w:r>
    </w:p>
    <w:p w14:paraId="6CB32A7E" w14:textId="00F1B25B" w:rsidR="003878BF" w:rsidRPr="00436D08" w:rsidRDefault="003878BF" w:rsidP="00675BBB">
      <w:pPr>
        <w:numPr>
          <w:ilvl w:val="0"/>
          <w:numId w:val="14"/>
        </w:numPr>
        <w:jc w:val="both"/>
        <w:rPr>
          <w:lang w:val="en-US"/>
        </w:rPr>
      </w:pPr>
      <w:r w:rsidRPr="003878BF">
        <w:rPr>
          <w:lang w:val="en-US"/>
        </w:rPr>
        <w:t xml:space="preserve">An increase in the expenditure limit eligible for the enhanced 35% SR&amp;ED tax credit, from $4.5 million </w:t>
      </w:r>
      <w:r w:rsidR="00182360">
        <w:rPr>
          <w:lang w:val="en-US"/>
        </w:rPr>
        <w:t xml:space="preserve">(as proposed </w:t>
      </w:r>
      <w:proofErr w:type="gramStart"/>
      <w:r w:rsidR="00182360">
        <w:rPr>
          <w:lang w:val="en-US"/>
        </w:rPr>
        <w:t>per</w:t>
      </w:r>
      <w:proofErr w:type="gramEnd"/>
      <w:r w:rsidR="00182360">
        <w:rPr>
          <w:lang w:val="en-US"/>
        </w:rPr>
        <w:t xml:space="preserve"> the 2024 Fall economic statement) </w:t>
      </w:r>
      <w:r w:rsidRPr="003878BF">
        <w:rPr>
          <w:lang w:val="en-US"/>
        </w:rPr>
        <w:t>to $6 million.</w:t>
      </w:r>
    </w:p>
    <w:p w14:paraId="092A88BE" w14:textId="68F51671" w:rsidR="003878BF" w:rsidRPr="00864225" w:rsidRDefault="003878BF" w:rsidP="003878BF">
      <w:pPr>
        <w:jc w:val="both"/>
        <w:rPr>
          <w:lang w:val="en-US"/>
        </w:rPr>
      </w:pPr>
      <w:r w:rsidRPr="00864225">
        <w:rPr>
          <w:lang w:val="en-US"/>
        </w:rPr>
        <w:t>Th</w:t>
      </w:r>
      <w:r>
        <w:rPr>
          <w:lang w:val="en-US"/>
        </w:rPr>
        <w:t>e above would apply</w:t>
      </w:r>
      <w:r w:rsidRPr="00864225">
        <w:rPr>
          <w:lang w:val="en-US"/>
        </w:rPr>
        <w:t xml:space="preserve"> to taxation years beginning on or after December 16, 2024.</w:t>
      </w:r>
    </w:p>
    <w:p w14:paraId="3F35172B" w14:textId="3383BCA8" w:rsidR="003878BF" w:rsidRPr="003878BF" w:rsidRDefault="003878BF" w:rsidP="003878BF">
      <w:pPr>
        <w:jc w:val="both"/>
        <w:rPr>
          <w:lang w:val="en-US"/>
        </w:rPr>
      </w:pPr>
      <w:r w:rsidRPr="003878BF">
        <w:rPr>
          <w:lang w:val="en-US"/>
        </w:rPr>
        <w:t xml:space="preserve">Furthermore, </w:t>
      </w:r>
      <w:proofErr w:type="gramStart"/>
      <w:r w:rsidRPr="003878BF">
        <w:rPr>
          <w:lang w:val="en-US"/>
        </w:rPr>
        <w:t>in an effort to</w:t>
      </w:r>
      <w:proofErr w:type="gramEnd"/>
      <w:r w:rsidRPr="003878BF">
        <w:rPr>
          <w:lang w:val="en-US"/>
        </w:rPr>
        <w:t xml:space="preserve"> enhance predictability and improve and streamline the SR&amp;ED program’s administration, the government has directed the CRA to undertake the following initiatives:</w:t>
      </w:r>
    </w:p>
    <w:p w14:paraId="72C69047" w14:textId="77777777" w:rsidR="003878BF" w:rsidRPr="003878BF" w:rsidRDefault="003878BF" w:rsidP="003878BF">
      <w:pPr>
        <w:numPr>
          <w:ilvl w:val="0"/>
          <w:numId w:val="16"/>
        </w:numPr>
        <w:jc w:val="both"/>
        <w:rPr>
          <w:lang w:val="en-US"/>
        </w:rPr>
      </w:pPr>
      <w:r w:rsidRPr="003878BF">
        <w:rPr>
          <w:lang w:val="en-US"/>
        </w:rPr>
        <w:t>Implement an elective pre-claim approval process, providing businesses with:</w:t>
      </w:r>
    </w:p>
    <w:p w14:paraId="4699F4D2" w14:textId="77777777" w:rsidR="003878BF" w:rsidRPr="003878BF" w:rsidRDefault="003878BF" w:rsidP="003878BF">
      <w:pPr>
        <w:numPr>
          <w:ilvl w:val="1"/>
          <w:numId w:val="16"/>
        </w:numPr>
        <w:jc w:val="both"/>
        <w:rPr>
          <w:lang w:val="en-US"/>
        </w:rPr>
      </w:pPr>
      <w:r w:rsidRPr="003878BF">
        <w:rPr>
          <w:lang w:val="en-US"/>
        </w:rPr>
        <w:t>Up-front technical approval of eligible SR&amp;ED projects before any work begins or costs are incurred.</w:t>
      </w:r>
    </w:p>
    <w:p w14:paraId="1B51EE0A" w14:textId="77777777" w:rsidR="003878BF" w:rsidRPr="003878BF" w:rsidRDefault="003878BF" w:rsidP="003878BF">
      <w:pPr>
        <w:numPr>
          <w:ilvl w:val="1"/>
          <w:numId w:val="16"/>
        </w:numPr>
        <w:jc w:val="both"/>
        <w:rPr>
          <w:lang w:val="en-US"/>
        </w:rPr>
      </w:pPr>
      <w:r w:rsidRPr="003878BF">
        <w:rPr>
          <w:lang w:val="en-US"/>
        </w:rPr>
        <w:t>Reduced processing times for claims — expected to be cut in half, from 180 days to 90 days.</w:t>
      </w:r>
    </w:p>
    <w:p w14:paraId="3125AFA1" w14:textId="502C01E2" w:rsidR="003878BF" w:rsidRPr="003878BF" w:rsidRDefault="003878BF" w:rsidP="003878BF">
      <w:pPr>
        <w:numPr>
          <w:ilvl w:val="0"/>
          <w:numId w:val="16"/>
        </w:numPr>
        <w:jc w:val="both"/>
        <w:rPr>
          <w:lang w:val="en-US"/>
        </w:rPr>
      </w:pPr>
      <w:r w:rsidRPr="003878BF">
        <w:rPr>
          <w:lang w:val="en-US"/>
        </w:rPr>
        <w:t>Increase the use of artificial intelligence (AI) in program administration to enable the CRA to adopt a risk-based review approach when assessing claims</w:t>
      </w:r>
      <w:r w:rsidR="00285D65">
        <w:rPr>
          <w:lang w:val="en-US"/>
        </w:rPr>
        <w:t xml:space="preserve"> and limiting unnecessary audit interventions</w:t>
      </w:r>
      <w:r w:rsidRPr="003878BF">
        <w:rPr>
          <w:lang w:val="en-US"/>
        </w:rPr>
        <w:t>.</w:t>
      </w:r>
    </w:p>
    <w:p w14:paraId="6C11FC58" w14:textId="1BBC4F46" w:rsidR="003878BF" w:rsidRPr="003878BF" w:rsidRDefault="003878BF" w:rsidP="003878BF">
      <w:pPr>
        <w:numPr>
          <w:ilvl w:val="0"/>
          <w:numId w:val="16"/>
        </w:numPr>
        <w:jc w:val="both"/>
        <w:rPr>
          <w:lang w:val="en-US"/>
        </w:rPr>
      </w:pPr>
      <w:r w:rsidRPr="003878BF">
        <w:rPr>
          <w:lang w:val="en-US"/>
        </w:rPr>
        <w:t xml:space="preserve">Enhance administrative efficiency through the removal of </w:t>
      </w:r>
      <w:r w:rsidR="00285D65" w:rsidRPr="003878BF">
        <w:rPr>
          <w:lang w:val="en-US"/>
        </w:rPr>
        <w:t>pointless</w:t>
      </w:r>
      <w:r w:rsidRPr="003878BF">
        <w:rPr>
          <w:lang w:val="en-US"/>
        </w:rPr>
        <w:t xml:space="preserve"> procedures and by limiting onerous documentation requirements that hinder timely claim resolution.</w:t>
      </w:r>
    </w:p>
    <w:p w14:paraId="090AAACB" w14:textId="77777777" w:rsidR="003878BF" w:rsidRPr="003878BF" w:rsidRDefault="003878BF" w:rsidP="003878BF">
      <w:pPr>
        <w:jc w:val="both"/>
        <w:rPr>
          <w:lang w:val="en-US"/>
        </w:rPr>
      </w:pPr>
      <w:r w:rsidRPr="003878BF">
        <w:rPr>
          <w:lang w:val="en-US"/>
        </w:rPr>
        <w:lastRenderedPageBreak/>
        <w:t>These administrative changes will take effect on April 1, 2026. The government also announced its intention to launch targeted consultations aimed at further improving the program’s administration, including a comprehensive review of the SR&amp;ED claim form.</w:t>
      </w:r>
    </w:p>
    <w:p w14:paraId="30ACDD39" w14:textId="77777777" w:rsidR="006C4D6C" w:rsidRDefault="006C4D6C" w:rsidP="006C4D6C">
      <w:pPr>
        <w:pStyle w:val="Titre2"/>
        <w:jc w:val="both"/>
        <w:rPr>
          <w:lang w:val="en-US"/>
        </w:rPr>
      </w:pPr>
      <w:bookmarkStart w:id="19" w:name="_Toc213427587"/>
      <w:r w:rsidRPr="003D09AD">
        <w:rPr>
          <w:lang w:val="en-US"/>
        </w:rPr>
        <w:t>Boosting Clean Economy Investment Through Tax Credits</w:t>
      </w:r>
      <w:bookmarkEnd w:id="19"/>
    </w:p>
    <w:p w14:paraId="1563A283" w14:textId="0DE9DACD" w:rsidR="006C4D6C" w:rsidRPr="00530241" w:rsidRDefault="006C4D6C" w:rsidP="006C4D6C">
      <w:pPr>
        <w:jc w:val="both"/>
        <w:rPr>
          <w:lang w:val="en-US"/>
        </w:rPr>
      </w:pPr>
      <w:r>
        <w:rPr>
          <w:lang w:val="en-US"/>
        </w:rPr>
        <w:t xml:space="preserve">It is expected that </w:t>
      </w:r>
      <w:r w:rsidRPr="00AD4D4F">
        <w:rPr>
          <w:lang w:val="en-US"/>
        </w:rPr>
        <w:t>Canada’s growing economy and population will sharply increase clean energy demand, driven by industrial expansion and emerging sectors such as AI data centers and electric transport. Meeting</w:t>
      </w:r>
      <w:r>
        <w:rPr>
          <w:lang w:val="en-US"/>
        </w:rPr>
        <w:t xml:space="preserve"> </w:t>
      </w:r>
      <w:r w:rsidRPr="00AD4D4F">
        <w:rPr>
          <w:lang w:val="en-US"/>
        </w:rPr>
        <w:t xml:space="preserve">this demand will require major investments in grid modernization and renewable energy. </w:t>
      </w:r>
      <w:r w:rsidR="00F4358C">
        <w:rPr>
          <w:lang w:val="en-US"/>
        </w:rPr>
        <w:t>Additionally, t</w:t>
      </w:r>
      <w:r>
        <w:rPr>
          <w:lang w:val="en-US"/>
        </w:rPr>
        <w:t>o</w:t>
      </w:r>
      <w:r w:rsidR="00F4358C">
        <w:rPr>
          <w:lang w:val="en-US"/>
        </w:rPr>
        <w:t xml:space="preserve"> </w:t>
      </w:r>
      <w:r w:rsidR="00285D65">
        <w:rPr>
          <w:lang w:val="en-US"/>
        </w:rPr>
        <w:t>further</w:t>
      </w:r>
      <w:r>
        <w:rPr>
          <w:lang w:val="en-US"/>
        </w:rPr>
        <w:t xml:space="preserve"> support this transition, </w:t>
      </w:r>
      <w:r w:rsidR="00970F41">
        <w:rPr>
          <w:lang w:val="en-US"/>
        </w:rPr>
        <w:t xml:space="preserve">Budget 2025 </w:t>
      </w:r>
      <w:r w:rsidR="00285D65">
        <w:rPr>
          <w:lang w:val="en-US"/>
        </w:rPr>
        <w:t>announced the below enhancement</w:t>
      </w:r>
      <w:r w:rsidR="00BB6E79">
        <w:rPr>
          <w:lang w:val="en-US"/>
        </w:rPr>
        <w:t>s</w:t>
      </w:r>
      <w:r w:rsidR="00285D65">
        <w:rPr>
          <w:lang w:val="en-US"/>
        </w:rPr>
        <w:t xml:space="preserve"> to the following</w:t>
      </w:r>
      <w:r w:rsidR="00BB6E79">
        <w:rPr>
          <w:lang w:val="en-US"/>
        </w:rPr>
        <w:t xml:space="preserve"> refundable </w:t>
      </w:r>
      <w:r w:rsidR="00970F41">
        <w:rPr>
          <w:lang w:val="en-US"/>
        </w:rPr>
        <w:t>clean economy tax incentives</w:t>
      </w:r>
      <w:r w:rsidR="005A22A8">
        <w:rPr>
          <w:lang w:val="en-US"/>
        </w:rPr>
        <w:t xml:space="preserve"> which have been set in law in 2024</w:t>
      </w:r>
      <w:r>
        <w:rPr>
          <w:lang w:val="en-US"/>
        </w:rPr>
        <w:t>:</w:t>
      </w:r>
    </w:p>
    <w:p w14:paraId="2A5E4B77" w14:textId="1CC9D3E9" w:rsidR="006C4D6C" w:rsidRPr="00436D08" w:rsidRDefault="00970F41" w:rsidP="00436D08">
      <w:pPr>
        <w:pStyle w:val="Paragraphedeliste"/>
        <w:numPr>
          <w:ilvl w:val="0"/>
          <w:numId w:val="23"/>
        </w:numPr>
        <w:jc w:val="both"/>
        <w:rPr>
          <w:lang w:val="en-US"/>
        </w:rPr>
      </w:pPr>
      <w:r w:rsidRPr="001440A5">
        <w:rPr>
          <w:b/>
          <w:bCs/>
          <w:i/>
          <w:iCs/>
          <w:lang w:val="en-US"/>
        </w:rPr>
        <w:t>Carbon Capture, Utilization, and Storage investment tax credit</w:t>
      </w:r>
      <w:r w:rsidRPr="00436D08">
        <w:rPr>
          <w:lang w:val="en-US"/>
        </w:rPr>
        <w:t xml:space="preserve">: Budget 2025 proposes </w:t>
      </w:r>
      <w:r w:rsidR="00F4358C" w:rsidRPr="00436D08">
        <w:rPr>
          <w:lang w:val="en-US"/>
        </w:rPr>
        <w:t>extending</w:t>
      </w:r>
      <w:r w:rsidRPr="00436D08">
        <w:rPr>
          <w:lang w:val="en-US"/>
        </w:rPr>
        <w:t xml:space="preserve"> the availability of full credit rates (which range from 37.5 to 60 %) for five more years (extension from 2030 to 2035) while </w:t>
      </w:r>
      <w:r w:rsidR="001440A5">
        <w:rPr>
          <w:lang w:val="en-US"/>
        </w:rPr>
        <w:t xml:space="preserve">the </w:t>
      </w:r>
      <w:r w:rsidRPr="00436D08">
        <w:rPr>
          <w:lang w:val="en-US"/>
        </w:rPr>
        <w:t xml:space="preserve">half </w:t>
      </w:r>
      <w:r w:rsidR="001440A5">
        <w:rPr>
          <w:lang w:val="en-US"/>
        </w:rPr>
        <w:t xml:space="preserve">credit </w:t>
      </w:r>
      <w:r w:rsidRPr="00436D08">
        <w:rPr>
          <w:lang w:val="en-US"/>
        </w:rPr>
        <w:t xml:space="preserve">rate (18.75% to 30%) would </w:t>
      </w:r>
      <w:r w:rsidR="005A22A8" w:rsidRPr="00436D08">
        <w:rPr>
          <w:lang w:val="en-US"/>
        </w:rPr>
        <w:t xml:space="preserve">remain unchanged </w:t>
      </w:r>
      <w:r w:rsidRPr="00436D08">
        <w:rPr>
          <w:lang w:val="en-US"/>
        </w:rPr>
        <w:t>from 2036 to 2040.</w:t>
      </w:r>
      <w:r w:rsidR="006C4D6C" w:rsidRPr="00436D08">
        <w:rPr>
          <w:lang w:val="en-US"/>
        </w:rPr>
        <w:t xml:space="preserve"> </w:t>
      </w:r>
    </w:p>
    <w:p w14:paraId="0C2572EE" w14:textId="26CD342D" w:rsidR="00BB6E79" w:rsidRPr="00436D08" w:rsidRDefault="00BB6E79" w:rsidP="00436D08">
      <w:pPr>
        <w:pStyle w:val="Paragraphedeliste"/>
        <w:numPr>
          <w:ilvl w:val="0"/>
          <w:numId w:val="23"/>
        </w:numPr>
        <w:jc w:val="both"/>
        <w:rPr>
          <w:lang w:val="en-US"/>
        </w:rPr>
      </w:pPr>
      <w:r w:rsidRPr="001440A5">
        <w:rPr>
          <w:b/>
          <w:bCs/>
          <w:i/>
          <w:iCs/>
          <w:lang w:val="en-US"/>
        </w:rPr>
        <w:t xml:space="preserve">Clean Technology </w:t>
      </w:r>
      <w:proofErr w:type="gramStart"/>
      <w:r w:rsidR="00B23EF4" w:rsidRPr="001440A5">
        <w:rPr>
          <w:b/>
          <w:bCs/>
          <w:i/>
          <w:iCs/>
          <w:lang w:val="en-US"/>
        </w:rPr>
        <w:t>investment</w:t>
      </w:r>
      <w:r w:rsidRPr="001440A5">
        <w:rPr>
          <w:b/>
          <w:bCs/>
          <w:i/>
          <w:iCs/>
          <w:lang w:val="en-US"/>
        </w:rPr>
        <w:t xml:space="preserve"> </w:t>
      </w:r>
      <w:r w:rsidR="00B23EF4" w:rsidRPr="001440A5">
        <w:rPr>
          <w:b/>
          <w:bCs/>
          <w:i/>
          <w:iCs/>
          <w:lang w:val="en-US"/>
        </w:rPr>
        <w:t>tax</w:t>
      </w:r>
      <w:proofErr w:type="gramEnd"/>
      <w:r w:rsidR="00B23EF4" w:rsidRPr="001440A5">
        <w:rPr>
          <w:b/>
          <w:bCs/>
          <w:i/>
          <w:iCs/>
          <w:lang w:val="en-US"/>
        </w:rPr>
        <w:t xml:space="preserve"> </w:t>
      </w:r>
      <w:r w:rsidRPr="001440A5">
        <w:rPr>
          <w:b/>
          <w:bCs/>
          <w:i/>
          <w:iCs/>
          <w:lang w:val="en-US"/>
        </w:rPr>
        <w:t>credit</w:t>
      </w:r>
      <w:r w:rsidRPr="00436D08">
        <w:rPr>
          <w:lang w:val="en-US"/>
        </w:rPr>
        <w:t xml:space="preserve">: Budget 2025 proposes extending the availability to this credit to include systems that produce electricity, heat, or both electricity and heat from waste biomass and changing the eligibility requirements for small nuclear energy property (30% credit applicable retroactively to both measures available respectively as of November 21, 2023, and March 28, 2023). </w:t>
      </w:r>
    </w:p>
    <w:p w14:paraId="137B522C" w14:textId="77777777" w:rsidR="00436D08" w:rsidRDefault="00BB6E79" w:rsidP="00BE7BEC">
      <w:pPr>
        <w:pStyle w:val="Paragraphedeliste"/>
        <w:numPr>
          <w:ilvl w:val="0"/>
          <w:numId w:val="23"/>
        </w:numPr>
        <w:jc w:val="both"/>
        <w:rPr>
          <w:lang w:val="en-US"/>
        </w:rPr>
      </w:pPr>
      <w:r w:rsidRPr="001440A5">
        <w:rPr>
          <w:b/>
          <w:bCs/>
          <w:i/>
          <w:iCs/>
          <w:lang w:val="en-US"/>
        </w:rPr>
        <w:t>Clean Technology Manufacturing investment tax credit</w:t>
      </w:r>
      <w:r w:rsidRPr="00436D08">
        <w:rPr>
          <w:lang w:val="en-US"/>
        </w:rPr>
        <w:t xml:space="preserve">: Budget 2025 proposes extending the availability to this credit to include qualifying equipment used in eligible polymetallic mining projects (30% credit applicable retroactively to </w:t>
      </w:r>
      <w:r w:rsidRPr="001440A5">
        <w:rPr>
          <w:lang w:val="en-US"/>
        </w:rPr>
        <w:t>January</w:t>
      </w:r>
      <w:r w:rsidR="00B23EF4" w:rsidRPr="001440A5">
        <w:rPr>
          <w:lang w:val="en-US"/>
        </w:rPr>
        <w:t xml:space="preserve"> 1</w:t>
      </w:r>
      <w:r w:rsidRPr="001440A5">
        <w:rPr>
          <w:lang w:val="en-US"/>
        </w:rPr>
        <w:t>, 2024</w:t>
      </w:r>
      <w:r w:rsidRPr="00436D08">
        <w:rPr>
          <w:lang w:val="en-US"/>
        </w:rPr>
        <w:t>)</w:t>
      </w:r>
      <w:r w:rsidR="00B23EF4" w:rsidRPr="00436D08">
        <w:rPr>
          <w:lang w:val="en-US"/>
        </w:rPr>
        <w:t>.</w:t>
      </w:r>
    </w:p>
    <w:p w14:paraId="0BB384A7" w14:textId="05D356CF" w:rsidR="00B23EF4" w:rsidRPr="00436D08" w:rsidRDefault="00B23EF4" w:rsidP="00BE7BEC">
      <w:pPr>
        <w:pStyle w:val="Paragraphedeliste"/>
        <w:numPr>
          <w:ilvl w:val="0"/>
          <w:numId w:val="23"/>
        </w:numPr>
        <w:jc w:val="both"/>
        <w:rPr>
          <w:lang w:val="en-US"/>
        </w:rPr>
      </w:pPr>
      <w:r w:rsidRPr="001440A5">
        <w:rPr>
          <w:b/>
          <w:bCs/>
          <w:i/>
          <w:iCs/>
          <w:lang w:val="en-US"/>
        </w:rPr>
        <w:t>Clean Hydrogen investment tax credit</w:t>
      </w:r>
      <w:r w:rsidRPr="00436D08">
        <w:rPr>
          <w:lang w:val="en-US"/>
        </w:rPr>
        <w:t xml:space="preserve">: Budget 2025 proposes extending the availability to this credit </w:t>
      </w:r>
      <w:r w:rsidRPr="00BB6E79">
        <w:rPr>
          <w:lang w:val="en-US"/>
        </w:rPr>
        <w:t>to include</w:t>
      </w:r>
      <w:r w:rsidRPr="00436D08">
        <w:rPr>
          <w:lang w:val="en-US"/>
        </w:rPr>
        <w:t xml:space="preserve"> </w:t>
      </w:r>
      <w:r w:rsidRPr="00B23EF4">
        <w:rPr>
          <w:lang w:val="en-US"/>
        </w:rPr>
        <w:t xml:space="preserve">hydrogen produced from methane pyrolysis </w:t>
      </w:r>
      <w:r w:rsidRPr="00436D08">
        <w:rPr>
          <w:lang w:val="en-US"/>
        </w:rPr>
        <w:t>(credit of 15% to 40% applicable retroactively to December 16, 2024)</w:t>
      </w:r>
      <w:r w:rsidR="001440A5">
        <w:rPr>
          <w:lang w:val="en-US"/>
        </w:rPr>
        <w:t>.</w:t>
      </w:r>
    </w:p>
    <w:p w14:paraId="5774D2C8" w14:textId="05A87688" w:rsidR="006C4D6C" w:rsidRPr="003D09AD" w:rsidRDefault="00B23EF4" w:rsidP="00436D08">
      <w:pPr>
        <w:jc w:val="both"/>
        <w:rPr>
          <w:lang w:val="en-US"/>
        </w:rPr>
      </w:pPr>
      <w:r w:rsidRPr="00436D08">
        <w:rPr>
          <w:lang w:val="en-US"/>
        </w:rPr>
        <w:t xml:space="preserve">As it relates to the </w:t>
      </w:r>
      <w:r w:rsidR="00F4358C" w:rsidRPr="001440A5">
        <w:rPr>
          <w:b/>
          <w:bCs/>
          <w:i/>
          <w:iCs/>
          <w:lang w:val="en-US"/>
        </w:rPr>
        <w:t>Clean Electricity investment tax credit</w:t>
      </w:r>
      <w:r w:rsidRPr="00436D08">
        <w:rPr>
          <w:lang w:val="en-US"/>
        </w:rPr>
        <w:t>, which has not yet been set in law, Budget 2025 confirms government’s intention to introduce such incentive into legislation. Additionally, it is proposed that t</w:t>
      </w:r>
      <w:r w:rsidR="00F4358C" w:rsidRPr="00436D08">
        <w:rPr>
          <w:lang w:val="en-US"/>
        </w:rPr>
        <w:t xml:space="preserve">he list of eligible entities </w:t>
      </w:r>
      <w:r w:rsidR="001440A5">
        <w:rPr>
          <w:lang w:val="en-US"/>
        </w:rPr>
        <w:t>to</w:t>
      </w:r>
      <w:r w:rsidR="00F4358C" w:rsidRPr="00436D08">
        <w:rPr>
          <w:lang w:val="en-US"/>
        </w:rPr>
        <w:t xml:space="preserve"> this 15% refundable credit will expand to include entities in the Canada Growth Fund</w:t>
      </w:r>
      <w:r w:rsidRPr="00436D08">
        <w:rPr>
          <w:lang w:val="en-US"/>
        </w:rPr>
        <w:t xml:space="preserve"> while removing the conditions imposed on </w:t>
      </w:r>
      <w:r w:rsidRPr="00B23EF4">
        <w:rPr>
          <w:lang w:val="en-US"/>
        </w:rPr>
        <w:t>provincial and territorial governments for their Crown corporations to be eligible for the clean electricity ITC</w:t>
      </w:r>
      <w:r w:rsidR="00F4358C" w:rsidRPr="00436D08">
        <w:rPr>
          <w:lang w:val="en-US"/>
        </w:rPr>
        <w:t xml:space="preserve">. </w:t>
      </w:r>
      <w:r w:rsidR="001440A5">
        <w:rPr>
          <w:lang w:val="en-US"/>
        </w:rPr>
        <w:t xml:space="preserve">It is also proposed that </w:t>
      </w:r>
      <w:r w:rsidR="003D09AD" w:rsidRPr="003D09AD">
        <w:rPr>
          <w:lang w:val="en-US"/>
        </w:rPr>
        <w:t xml:space="preserve">Canada Growth Fund </w:t>
      </w:r>
      <w:r w:rsidR="001440A5">
        <w:rPr>
          <w:lang w:val="en-US"/>
        </w:rPr>
        <w:t>r</w:t>
      </w:r>
      <w:r w:rsidR="003D09AD" w:rsidRPr="003D09AD">
        <w:rPr>
          <w:lang w:val="en-US"/>
        </w:rPr>
        <w:t>elated financing w</w:t>
      </w:r>
      <w:r w:rsidR="001440A5">
        <w:rPr>
          <w:lang w:val="en-US"/>
        </w:rPr>
        <w:t>ould</w:t>
      </w:r>
      <w:r w:rsidR="003D09AD" w:rsidRPr="003D09AD">
        <w:rPr>
          <w:lang w:val="en-US"/>
        </w:rPr>
        <w:t xml:space="preserve"> not reduce the cost base of eligible property, effective for property acquired and available for use on or after</w:t>
      </w:r>
      <w:r w:rsidR="003D09AD" w:rsidRPr="00436D08">
        <w:rPr>
          <w:lang w:val="en-US"/>
        </w:rPr>
        <w:t xml:space="preserve"> Budget </w:t>
      </w:r>
      <w:r w:rsidR="00172F24" w:rsidRPr="00436D08">
        <w:rPr>
          <w:lang w:val="en-US"/>
        </w:rPr>
        <w:t>D</w:t>
      </w:r>
      <w:r w:rsidR="003D09AD" w:rsidRPr="00436D08">
        <w:rPr>
          <w:lang w:val="en-US"/>
        </w:rPr>
        <w:t>ay 2025</w:t>
      </w:r>
      <w:r w:rsidR="003D09AD" w:rsidRPr="003D09AD">
        <w:rPr>
          <w:lang w:val="en-US"/>
        </w:rPr>
        <w:t>.</w:t>
      </w:r>
    </w:p>
    <w:p w14:paraId="7F237D3F" w14:textId="3F00E8A5" w:rsidR="003D09AD" w:rsidRDefault="003D09AD" w:rsidP="003D09AD">
      <w:pPr>
        <w:pStyle w:val="Titre2"/>
        <w:jc w:val="both"/>
        <w:rPr>
          <w:lang w:val="en-US"/>
        </w:rPr>
      </w:pPr>
      <w:bookmarkStart w:id="20" w:name="_Toc213427588"/>
      <w:r>
        <w:rPr>
          <w:lang w:val="en-US"/>
        </w:rPr>
        <w:t xml:space="preserve">Critical Mineral Exploration </w:t>
      </w:r>
      <w:r w:rsidRPr="003D09AD">
        <w:rPr>
          <w:lang w:val="en-US"/>
        </w:rPr>
        <w:t>Tax Credits</w:t>
      </w:r>
      <w:bookmarkEnd w:id="20"/>
    </w:p>
    <w:p w14:paraId="5B950667" w14:textId="2B62A8E5" w:rsidR="003D09AD" w:rsidRDefault="004509DF" w:rsidP="003D09AD">
      <w:pPr>
        <w:jc w:val="both"/>
        <w:rPr>
          <w:lang w:val="en-US"/>
        </w:rPr>
      </w:pPr>
      <w:r>
        <w:rPr>
          <w:lang w:val="en-US"/>
        </w:rPr>
        <w:t>In addition to the expense deductions (which allows for 30% to 100% taxable income deductions for individual flow-through shares owners) of certain resources related expenses which corporations will have renounced</w:t>
      </w:r>
      <w:r w:rsidR="0034196B">
        <w:rPr>
          <w:lang w:val="en-US"/>
        </w:rPr>
        <w:t xml:space="preserve"> to the benefit of their investors</w:t>
      </w:r>
      <w:r>
        <w:rPr>
          <w:lang w:val="en-US"/>
        </w:rPr>
        <w:t xml:space="preserve">, under an eligible </w:t>
      </w:r>
      <w:r w:rsidRPr="004509DF">
        <w:rPr>
          <w:lang w:val="en-US"/>
        </w:rPr>
        <w:t>flow-through share agreement</w:t>
      </w:r>
      <w:r>
        <w:rPr>
          <w:lang w:val="en-US"/>
        </w:rPr>
        <w:t>, individuals owning such shares could also potentially benefit  from t</w:t>
      </w:r>
      <w:r w:rsidR="003D09AD" w:rsidRPr="003D09AD">
        <w:rPr>
          <w:lang w:val="en-US"/>
        </w:rPr>
        <w:t xml:space="preserve">he Critical Mineral Exploration Tax Credit </w:t>
      </w:r>
      <w:r w:rsidR="003D09AD" w:rsidRPr="003D09AD">
        <w:rPr>
          <w:lang w:val="en-US"/>
        </w:rPr>
        <w:lastRenderedPageBreak/>
        <w:t>(CMETC)</w:t>
      </w:r>
      <w:r>
        <w:rPr>
          <w:lang w:val="en-US"/>
        </w:rPr>
        <w:t xml:space="preserve"> which</w:t>
      </w:r>
      <w:r w:rsidR="003D09AD" w:rsidRPr="003D09AD">
        <w:rPr>
          <w:lang w:val="en-US"/>
        </w:rPr>
        <w:t xml:space="preserve"> provides </w:t>
      </w:r>
      <w:r w:rsidR="003D09AD">
        <w:rPr>
          <w:lang w:val="en-US"/>
        </w:rPr>
        <w:t>for a</w:t>
      </w:r>
      <w:r w:rsidR="003D09AD" w:rsidRPr="003D09AD">
        <w:rPr>
          <w:lang w:val="en-US"/>
        </w:rPr>
        <w:t xml:space="preserve"> 30% income tax credit for individuals who invest in eligible flow-through shares tied to specified mineral exploration activities in Canada.</w:t>
      </w:r>
      <w:r w:rsidR="003D09AD">
        <w:rPr>
          <w:lang w:val="en-US"/>
        </w:rPr>
        <w:t xml:space="preserve"> </w:t>
      </w:r>
    </w:p>
    <w:p w14:paraId="1D1E6B7F" w14:textId="73DC7635" w:rsidR="004509DF" w:rsidRPr="004509DF" w:rsidRDefault="004509DF" w:rsidP="004509DF">
      <w:pPr>
        <w:jc w:val="both"/>
        <w:rPr>
          <w:lang w:val="en-US"/>
        </w:rPr>
      </w:pPr>
      <w:r>
        <w:rPr>
          <w:lang w:val="en-US"/>
        </w:rPr>
        <w:t>C</w:t>
      </w:r>
      <w:r w:rsidRPr="004509DF">
        <w:rPr>
          <w:lang w:val="en-US"/>
        </w:rPr>
        <w:t xml:space="preserve">urrently, the following critical minerals qualify for the CMETC: </w:t>
      </w:r>
      <w:r w:rsidRPr="004509DF">
        <w:rPr>
          <w:i/>
          <w:iCs/>
          <w:lang w:val="en-US"/>
        </w:rPr>
        <w:t>nickel, cobalt, graphite, copper, rare earth elements, vanadium, tellurium, gallium, scandium, titanium, magnesium, zinc, platinum group metals, uranium,</w:t>
      </w:r>
      <w:r w:rsidRPr="004509DF">
        <w:rPr>
          <w:lang w:val="en-US"/>
        </w:rPr>
        <w:t xml:space="preserve"> and </w:t>
      </w:r>
      <w:r w:rsidRPr="004509DF">
        <w:rPr>
          <w:i/>
          <w:iCs/>
          <w:lang w:val="en-US"/>
        </w:rPr>
        <w:t>lithium</w:t>
      </w:r>
      <w:r w:rsidRPr="004509DF">
        <w:rPr>
          <w:lang w:val="en-US"/>
        </w:rPr>
        <w:t xml:space="preserve"> (including lithium derived from brines).</w:t>
      </w:r>
    </w:p>
    <w:p w14:paraId="330EB537" w14:textId="77777777" w:rsidR="004509DF" w:rsidRPr="004509DF" w:rsidRDefault="004509DF" w:rsidP="004509DF">
      <w:pPr>
        <w:jc w:val="both"/>
        <w:rPr>
          <w:lang w:val="en-US"/>
        </w:rPr>
      </w:pPr>
      <w:r w:rsidRPr="004509DF">
        <w:rPr>
          <w:lang w:val="en-US"/>
        </w:rPr>
        <w:t xml:space="preserve">Budget 2025 proposes to expand the list of eligible critical minerals to include: </w:t>
      </w:r>
      <w:r w:rsidRPr="004509DF">
        <w:rPr>
          <w:i/>
          <w:iCs/>
          <w:lang w:val="en-US"/>
        </w:rPr>
        <w:t>bismuth, cesium, chromium, fluorspar, germanium, indium, manganese, molybdenum, niobium, tantalum, tin,</w:t>
      </w:r>
      <w:r w:rsidRPr="004509DF">
        <w:rPr>
          <w:lang w:val="en-US"/>
        </w:rPr>
        <w:t xml:space="preserve"> and </w:t>
      </w:r>
      <w:r w:rsidRPr="004509DF">
        <w:rPr>
          <w:i/>
          <w:iCs/>
          <w:lang w:val="en-US"/>
        </w:rPr>
        <w:t>tungsten.</w:t>
      </w:r>
    </w:p>
    <w:p w14:paraId="189A4238" w14:textId="76F5DCF1" w:rsidR="004509DF" w:rsidRDefault="004509DF" w:rsidP="003D09AD">
      <w:pPr>
        <w:jc w:val="both"/>
        <w:rPr>
          <w:lang w:val="en-US"/>
        </w:rPr>
      </w:pPr>
      <w:r w:rsidRPr="004509DF">
        <w:rPr>
          <w:lang w:val="en-US"/>
        </w:rPr>
        <w:t>This measure would apply to expenditures renounced under eligible flow-through share agreements entered after November 4, 2025, and on or before March 31, 2027.</w:t>
      </w:r>
    </w:p>
    <w:p w14:paraId="289B4FC9" w14:textId="1F81FE19" w:rsidR="00664C77" w:rsidRPr="00BC4C49" w:rsidRDefault="00BC4C49" w:rsidP="00103299">
      <w:pPr>
        <w:jc w:val="both"/>
        <w:rPr>
          <w:lang w:val="en-US"/>
        </w:rPr>
      </w:pPr>
      <w:r w:rsidRPr="00BC4C49">
        <w:rPr>
          <w:rFonts w:asciiTheme="majorHAnsi" w:eastAsiaTheme="majorEastAsia" w:hAnsiTheme="majorHAnsi" w:cstheme="majorBidi"/>
          <w:b/>
          <w:szCs w:val="32"/>
          <w:u w:val="single"/>
          <w:lang w:val="en-US"/>
        </w:rPr>
        <w:t>Tax Deferral Through Tiered Corporate Structures</w:t>
      </w:r>
    </w:p>
    <w:p w14:paraId="5306482F" w14:textId="7D0C244B" w:rsidR="00EF112A" w:rsidRDefault="00BC4C49" w:rsidP="00BC4C49">
      <w:pPr>
        <w:jc w:val="both"/>
        <w:rPr>
          <w:lang w:val="en-US"/>
        </w:rPr>
      </w:pPr>
      <w:r w:rsidRPr="00BC4C49">
        <w:rPr>
          <w:lang w:val="en-US"/>
        </w:rPr>
        <w:t>The dividend refund mechanism allows Canadian-controlled private corporations (“CCPCs”) to recover part of the additional tax paid on investment income when they pay taxable dividends to shareholders. If the shareholders are Canadian corporations, they are exempt from Part I tax on the dividends received but must pay a refundable Part IV tax, which is re</w:t>
      </w:r>
      <w:r w:rsidR="00172F24">
        <w:rPr>
          <w:lang w:val="en-US"/>
        </w:rPr>
        <w:t>fund</w:t>
      </w:r>
      <w:r w:rsidRPr="00BC4C49">
        <w:rPr>
          <w:lang w:val="en-US"/>
        </w:rPr>
        <w:t>ed when they subsequently pay a taxable dividend</w:t>
      </w:r>
      <w:r w:rsidR="00172F24">
        <w:rPr>
          <w:lang w:val="en-US"/>
        </w:rPr>
        <w:t xml:space="preserve"> onward</w:t>
      </w:r>
      <w:r w:rsidRPr="00BC4C49">
        <w:rPr>
          <w:lang w:val="en-US"/>
        </w:rPr>
        <w:t>.</w:t>
      </w:r>
    </w:p>
    <w:p w14:paraId="5EC3F616" w14:textId="330C2664" w:rsidR="00172F24" w:rsidRDefault="00BC4C49" w:rsidP="00BC4C49">
      <w:pPr>
        <w:jc w:val="both"/>
        <w:rPr>
          <w:lang w:val="en-US"/>
        </w:rPr>
      </w:pPr>
      <w:r w:rsidRPr="00BC4C49">
        <w:rPr>
          <w:lang w:val="en-US"/>
        </w:rPr>
        <w:t xml:space="preserve">When the corporation paying the dividend and the one receiving it </w:t>
      </w:r>
      <w:proofErr w:type="gramStart"/>
      <w:r w:rsidRPr="00BC4C49">
        <w:rPr>
          <w:lang w:val="en-US"/>
        </w:rPr>
        <w:t>have</w:t>
      </w:r>
      <w:proofErr w:type="gramEnd"/>
      <w:r w:rsidRPr="00BC4C49">
        <w:rPr>
          <w:lang w:val="en-US"/>
        </w:rPr>
        <w:t xml:space="preserve"> the same fiscal year-end, the refund received by one is equivalent to the tax paid by the other, resulting in no tax deferral within the </w:t>
      </w:r>
    </w:p>
    <w:p w14:paraId="6E408700" w14:textId="1EC49F2F" w:rsidR="00BC4C49" w:rsidRPr="00BC4C49" w:rsidRDefault="00BC4C49" w:rsidP="00BC4C49">
      <w:pPr>
        <w:jc w:val="both"/>
        <w:rPr>
          <w:lang w:val="en-US"/>
        </w:rPr>
      </w:pPr>
      <w:r w:rsidRPr="00BC4C49">
        <w:rPr>
          <w:lang w:val="en-US"/>
        </w:rPr>
        <w:t>corporate group. However, when the two corporations have different fiscal year-ends, the group may benefit from a tax deferral.</w:t>
      </w:r>
    </w:p>
    <w:p w14:paraId="3C87F852" w14:textId="77777777" w:rsidR="00BC4C49" w:rsidRPr="00BC4C49" w:rsidRDefault="00BC4C49" w:rsidP="00BC4C49">
      <w:pPr>
        <w:jc w:val="both"/>
        <w:rPr>
          <w:lang w:val="en-US"/>
        </w:rPr>
      </w:pPr>
      <w:r w:rsidRPr="00BC4C49">
        <w:rPr>
          <w:lang w:val="en-US"/>
        </w:rPr>
        <w:t>For example, a corporation may pay a taxable dividend at a time that is in the payer corporation’s 2025 taxation year and in the recipient corporation’s 2026 taxation year, in order to defer the tax liability on the investment income of the corporate group to the recipient’s balance-due day for its 2026 taxation year (rather than being payable on the payer corporation’s balance-due day for 2025).</w:t>
      </w:r>
    </w:p>
    <w:p w14:paraId="474E3C3A" w14:textId="6DC3DC5A" w:rsidR="00BC4C49" w:rsidRPr="00BC4C49" w:rsidRDefault="00BC4C49" w:rsidP="00BC4C49">
      <w:pPr>
        <w:jc w:val="both"/>
        <w:rPr>
          <w:lang w:val="en-US"/>
        </w:rPr>
      </w:pPr>
      <w:r w:rsidRPr="00BC4C49">
        <w:rPr>
          <w:lang w:val="en-US"/>
        </w:rPr>
        <w:t xml:space="preserve">Budget 2025 proposes to limit the deferral of </w:t>
      </w:r>
      <w:r w:rsidR="00172F24" w:rsidRPr="00BC4C49">
        <w:rPr>
          <w:lang w:val="en-US"/>
        </w:rPr>
        <w:t>Part IV tax</w:t>
      </w:r>
      <w:r w:rsidRPr="00BC4C49">
        <w:rPr>
          <w:lang w:val="en-US"/>
        </w:rPr>
        <w:t xml:space="preserve"> on investment income using tiered corporate structures with mismatched year ends. In general terms, the proposed limitation would suspend the dividend refund that could be claimed by a payer corporation on the payment of a taxable dividend to an affiliated recipient corporation if the recipient corporation’s balance-due day for the taxation year in which the dividend was received ends after the payer corporation’s balance-due day for the taxation year in which the dividend was paid. The determination of whether the dividend payer and payee are affiliated would be based on current affiliation rules in</w:t>
      </w:r>
      <w:r w:rsidR="00172F24">
        <w:rPr>
          <w:lang w:val="en-US"/>
        </w:rPr>
        <w:t>cluded in</w:t>
      </w:r>
      <w:r w:rsidRPr="00BC4C49">
        <w:rPr>
          <w:lang w:val="en-US"/>
        </w:rPr>
        <w:t xml:space="preserve"> the </w:t>
      </w:r>
      <w:r w:rsidRPr="00BC4C49">
        <w:rPr>
          <w:i/>
          <w:iCs/>
          <w:lang w:val="en-US"/>
        </w:rPr>
        <w:t>Income Tax Act</w:t>
      </w:r>
      <w:r w:rsidRPr="00BC4C49">
        <w:rPr>
          <w:lang w:val="en-US"/>
        </w:rPr>
        <w:t>.</w:t>
      </w:r>
    </w:p>
    <w:p w14:paraId="1F696021" w14:textId="77777777" w:rsidR="00BC4C49" w:rsidRPr="00BC4C49" w:rsidRDefault="00BC4C49" w:rsidP="00FC7F07">
      <w:pPr>
        <w:contextualSpacing/>
        <w:jc w:val="both"/>
        <w:rPr>
          <w:lang w:val="en-US"/>
        </w:rPr>
      </w:pPr>
      <w:r w:rsidRPr="00BC4C49">
        <w:rPr>
          <w:lang w:val="en-US"/>
        </w:rPr>
        <w:t>This measure would apply to taxation years that begin on or after Budget Day.</w:t>
      </w:r>
    </w:p>
    <w:p w14:paraId="01B4646A" w14:textId="6BAA901C" w:rsidR="00664C77" w:rsidRPr="00BC4C49" w:rsidRDefault="008E5DB3" w:rsidP="00FC7F07">
      <w:pPr>
        <w:pStyle w:val="Titre1"/>
        <w:contextualSpacing/>
        <w:jc w:val="both"/>
        <w:rPr>
          <w:lang w:val="en-US"/>
        </w:rPr>
      </w:pPr>
      <w:bookmarkStart w:id="21" w:name="_Toc213427589"/>
      <w:r w:rsidRPr="00BC4C49">
        <w:rPr>
          <w:lang w:val="en-US"/>
        </w:rPr>
        <w:lastRenderedPageBreak/>
        <w:t>International Tax Measures</w:t>
      </w:r>
      <w:bookmarkEnd w:id="21"/>
    </w:p>
    <w:p w14:paraId="0625160E" w14:textId="77777777" w:rsidR="00457B69" w:rsidRPr="00457B69" w:rsidRDefault="00457B69" w:rsidP="00457B69">
      <w:pPr>
        <w:pStyle w:val="Titre2"/>
        <w:jc w:val="both"/>
        <w:rPr>
          <w:bCs/>
          <w:lang w:val="en-US"/>
        </w:rPr>
      </w:pPr>
      <w:bookmarkStart w:id="22" w:name="_Toc213427590"/>
      <w:r w:rsidRPr="00457B69">
        <w:rPr>
          <w:bCs/>
          <w:lang w:val="en-US"/>
        </w:rPr>
        <w:t>Investment Income Derived from Assets Supporting Canadian Insurance Risks</w:t>
      </w:r>
      <w:bookmarkEnd w:id="22"/>
    </w:p>
    <w:p w14:paraId="57CBC684" w14:textId="77777777" w:rsidR="00457B69" w:rsidRPr="00457B69" w:rsidRDefault="00457B69" w:rsidP="00457B69">
      <w:pPr>
        <w:jc w:val="both"/>
        <w:rPr>
          <w:lang w:val="en-US"/>
        </w:rPr>
      </w:pPr>
      <w:r w:rsidRPr="00457B69">
        <w:rPr>
          <w:lang w:val="en-US"/>
        </w:rPr>
        <w:t>Under the Income Tax Act, certain income earned by a controlled foreign affiliate (CFA) of a Canadian taxpayer is treated as foreign accrual property income (FAPI) and included in the taxpayer’s income on an accrual basis. Specifically, subparagraph 95(2)(a.2)(</w:t>
      </w:r>
      <w:proofErr w:type="spellStart"/>
      <w:r w:rsidRPr="00457B69">
        <w:rPr>
          <w:lang w:val="en-US"/>
        </w:rPr>
        <w:t>i</w:t>
      </w:r>
      <w:proofErr w:type="spellEnd"/>
      <w:r w:rsidRPr="00457B69">
        <w:rPr>
          <w:lang w:val="en-US"/>
        </w:rPr>
        <w:t>) generally includes in FAPI any income derived from the insurance or reinsurance of specified Canadian risks—that is, risks relating to Canadian-resident persons, property situated in Canada, or businesses carried on in Canada.</w:t>
      </w:r>
      <w:r w:rsidRPr="00457B69">
        <w:rPr>
          <w:lang w:val="en-US"/>
        </w:rPr>
        <w:br/>
        <w:t>An exception currently applies where the affiliate earns more than 90% of its gross premium revenue from non-Canadian risks of arm’s-length persons.</w:t>
      </w:r>
    </w:p>
    <w:p w14:paraId="3BA7E29A" w14:textId="0DD314C9" w:rsidR="00457B69" w:rsidRDefault="00457B69" w:rsidP="00457B69">
      <w:pPr>
        <w:jc w:val="both"/>
        <w:rPr>
          <w:lang w:val="en-US"/>
        </w:rPr>
      </w:pPr>
      <w:r w:rsidRPr="00457B69">
        <w:rPr>
          <w:lang w:val="en-US"/>
        </w:rPr>
        <w:t xml:space="preserve">Budget 2025 proposes to clarify and expand the scope of this rule. The </w:t>
      </w:r>
      <w:r w:rsidR="0034196B">
        <w:rPr>
          <w:lang w:val="en-US"/>
        </w:rPr>
        <w:t xml:space="preserve">proposed </w:t>
      </w:r>
      <w:r w:rsidRPr="00457B69">
        <w:rPr>
          <w:lang w:val="en-US"/>
        </w:rPr>
        <w:t>amendment</w:t>
      </w:r>
      <w:r w:rsidR="0034196B">
        <w:rPr>
          <w:lang w:val="en-US"/>
        </w:rPr>
        <w:t>s</w:t>
      </w:r>
      <w:r w:rsidRPr="00457B69">
        <w:rPr>
          <w:lang w:val="en-US"/>
        </w:rPr>
        <w:t xml:space="preserve"> would ensure that income earned by a foreign affiliate from holding property connected to the insurance or reinsurance of specified Canadian risks—by any person or partnership—w</w:t>
      </w:r>
      <w:r w:rsidR="0034196B">
        <w:rPr>
          <w:lang w:val="en-US"/>
        </w:rPr>
        <w:t>ould</w:t>
      </w:r>
      <w:r w:rsidRPr="00457B69">
        <w:rPr>
          <w:lang w:val="en-US"/>
        </w:rPr>
        <w:t xml:space="preserve"> also be treated as FAPI.</w:t>
      </w:r>
      <w:r w:rsidRPr="00457B69">
        <w:rPr>
          <w:lang w:val="en-US"/>
        </w:rPr>
        <w:br/>
        <w:t>In practical terms, investment income derived from assets held to support Canadian insurance risks will now be subject to FAPI inclusion, even if the related risks are insured by another entity within the corporate group.</w:t>
      </w:r>
    </w:p>
    <w:p w14:paraId="67F891D7" w14:textId="2E02C763" w:rsidR="00457B69" w:rsidRPr="00457B69" w:rsidRDefault="00457B69" w:rsidP="00457B69">
      <w:pPr>
        <w:jc w:val="both"/>
        <w:rPr>
          <w:lang w:val="en-US"/>
        </w:rPr>
      </w:pPr>
      <w:r w:rsidRPr="00457B69">
        <w:rPr>
          <w:lang w:val="en-US"/>
        </w:rPr>
        <w:t>This measure would apply to taxation years of foreign affiliates beginning after November 4, 2025.</w:t>
      </w:r>
    </w:p>
    <w:p w14:paraId="24F93A70" w14:textId="1BEB319A" w:rsidR="00385199" w:rsidRPr="00BC4C49" w:rsidRDefault="00BC4C49" w:rsidP="00103299">
      <w:pPr>
        <w:pStyle w:val="Titre2"/>
        <w:jc w:val="both"/>
        <w:rPr>
          <w:lang w:val="en-US"/>
        </w:rPr>
      </w:pPr>
      <w:bookmarkStart w:id="23" w:name="_Toc213427591"/>
      <w:r w:rsidRPr="00BC4C49">
        <w:rPr>
          <w:lang w:val="en-US"/>
        </w:rPr>
        <w:t>T</w:t>
      </w:r>
      <w:r>
        <w:rPr>
          <w:lang w:val="en-US"/>
        </w:rPr>
        <w:t>ransfer Pricing</w:t>
      </w:r>
      <w:bookmarkEnd w:id="23"/>
    </w:p>
    <w:p w14:paraId="45438161" w14:textId="6924AB6A" w:rsidR="00457B69" w:rsidRPr="00457B69" w:rsidRDefault="00457B69" w:rsidP="00457B69">
      <w:pPr>
        <w:jc w:val="both"/>
        <w:rPr>
          <w:rFonts w:ascii="Times New Roman" w:hAnsi="Times New Roman" w:cs="Times New Roman"/>
          <w:lang w:val="en-US"/>
        </w:rPr>
      </w:pPr>
      <w:r w:rsidRPr="00457B69">
        <w:rPr>
          <w:rFonts w:ascii="Times New Roman" w:hAnsi="Times New Roman" w:cs="Times New Roman"/>
          <w:lang w:val="en-US"/>
        </w:rPr>
        <w:t xml:space="preserve">Budget 2025 introduces </w:t>
      </w:r>
      <w:r w:rsidR="0034196B">
        <w:rPr>
          <w:rFonts w:ascii="Times New Roman" w:hAnsi="Times New Roman" w:cs="Times New Roman"/>
          <w:lang w:val="en-US"/>
        </w:rPr>
        <w:t xml:space="preserve">a </w:t>
      </w:r>
      <w:r w:rsidRPr="00457B69">
        <w:rPr>
          <w:rFonts w:ascii="Times New Roman" w:hAnsi="Times New Roman" w:cs="Times New Roman"/>
          <w:lang w:val="en-US"/>
        </w:rPr>
        <w:t>comprehensive reform to Canada’s transfer pricing regime, following stakeholder</w:t>
      </w:r>
      <w:r w:rsidR="0034196B">
        <w:rPr>
          <w:rFonts w:ascii="Times New Roman" w:hAnsi="Times New Roman" w:cs="Times New Roman"/>
          <w:lang w:val="en-US"/>
        </w:rPr>
        <w:t>s</w:t>
      </w:r>
      <w:r w:rsidRPr="00457B69">
        <w:rPr>
          <w:rFonts w:ascii="Times New Roman" w:hAnsi="Times New Roman" w:cs="Times New Roman"/>
          <w:lang w:val="en-US"/>
        </w:rPr>
        <w:t xml:space="preserve"> feedback from the June 2023 consultation on modernizing section 247 of the Income Tax Act (ITA). These measures aim to align Canada’s framework with international standards, particularly the OECD Transfer Pricing Guidelines for Multinational Enterprises and Tax Administrations (2022), and to provide greater clarity, consistency, and administrative efficiency.</w:t>
      </w:r>
    </w:p>
    <w:p w14:paraId="211AA727" w14:textId="11BE5411" w:rsidR="00687C6E" w:rsidRPr="00457B69" w:rsidRDefault="00687C6E" w:rsidP="003B0471">
      <w:pPr>
        <w:jc w:val="both"/>
        <w:rPr>
          <w:rFonts w:ascii="Times New Roman" w:hAnsi="Times New Roman" w:cs="Times New Roman"/>
          <w:lang w:val="en-US"/>
        </w:rPr>
      </w:pPr>
      <w:r w:rsidRPr="00457B69">
        <w:rPr>
          <w:rFonts w:ascii="Times New Roman" w:hAnsi="Times New Roman" w:cs="Times New Roman"/>
          <w:lang w:val="en-US"/>
        </w:rPr>
        <w:t xml:space="preserve">An interpretation rule will </w:t>
      </w:r>
      <w:r w:rsidR="00E94CCC">
        <w:rPr>
          <w:rFonts w:ascii="Times New Roman" w:hAnsi="Times New Roman" w:cs="Times New Roman"/>
          <w:lang w:val="en-US"/>
        </w:rPr>
        <w:t xml:space="preserve">also </w:t>
      </w:r>
      <w:r w:rsidRPr="00457B69">
        <w:rPr>
          <w:rFonts w:ascii="Times New Roman" w:hAnsi="Times New Roman" w:cs="Times New Roman"/>
          <w:lang w:val="en-US"/>
        </w:rPr>
        <w:t>be introduced</w:t>
      </w:r>
      <w:r w:rsidR="0034196B">
        <w:rPr>
          <w:rFonts w:ascii="Times New Roman" w:hAnsi="Times New Roman" w:cs="Times New Roman"/>
          <w:lang w:val="en-US"/>
        </w:rPr>
        <w:t xml:space="preserve">, as part of this new proposed </w:t>
      </w:r>
      <w:proofErr w:type="gramStart"/>
      <w:r w:rsidR="0034196B">
        <w:rPr>
          <w:rFonts w:ascii="Times New Roman" w:hAnsi="Times New Roman" w:cs="Times New Roman"/>
          <w:lang w:val="en-US"/>
        </w:rPr>
        <w:t xml:space="preserve">reform, </w:t>
      </w:r>
      <w:r w:rsidRPr="00457B69">
        <w:rPr>
          <w:rFonts w:ascii="Times New Roman" w:hAnsi="Times New Roman" w:cs="Times New Roman"/>
          <w:lang w:val="en-US"/>
        </w:rPr>
        <w:t xml:space="preserve"> to</w:t>
      </w:r>
      <w:proofErr w:type="gramEnd"/>
      <w:r w:rsidRPr="00457B69">
        <w:rPr>
          <w:rFonts w:ascii="Times New Roman" w:hAnsi="Times New Roman" w:cs="Times New Roman"/>
          <w:lang w:val="en-US"/>
        </w:rPr>
        <w:t xml:space="preserve"> ensure that Canada’s transfer pricing </w:t>
      </w:r>
      <w:r w:rsidR="0034196B">
        <w:rPr>
          <w:rFonts w:ascii="Times New Roman" w:hAnsi="Times New Roman" w:cs="Times New Roman"/>
          <w:lang w:val="en-US"/>
        </w:rPr>
        <w:t>domestic rules are</w:t>
      </w:r>
      <w:r w:rsidRPr="00457B69">
        <w:rPr>
          <w:rFonts w:ascii="Times New Roman" w:hAnsi="Times New Roman" w:cs="Times New Roman"/>
          <w:lang w:val="en-US"/>
        </w:rPr>
        <w:t xml:space="preserve"> applied in a manner consistent with the analytic and interpretive framework of the OECD Transfer Pricing Guidelines,</w:t>
      </w:r>
      <w:r>
        <w:rPr>
          <w:rFonts w:ascii="Times New Roman" w:hAnsi="Times New Roman" w:cs="Times New Roman"/>
          <w:lang w:val="en-US"/>
        </w:rPr>
        <w:t xml:space="preserve"> </w:t>
      </w:r>
      <w:r w:rsidRPr="00457B69">
        <w:rPr>
          <w:rFonts w:ascii="Times New Roman" w:hAnsi="Times New Roman" w:cs="Times New Roman"/>
          <w:lang w:val="en-US"/>
        </w:rPr>
        <w:t xml:space="preserve">except </w:t>
      </w:r>
      <w:proofErr w:type="gramStart"/>
      <w:r w:rsidRPr="00457B69">
        <w:rPr>
          <w:rFonts w:ascii="Times New Roman" w:hAnsi="Times New Roman" w:cs="Times New Roman"/>
          <w:lang w:val="en-US"/>
        </w:rPr>
        <w:t>where</w:t>
      </w:r>
      <w:proofErr w:type="gramEnd"/>
      <w:r w:rsidRPr="00457B69">
        <w:rPr>
          <w:rFonts w:ascii="Times New Roman" w:hAnsi="Times New Roman" w:cs="Times New Roman"/>
          <w:lang w:val="en-US"/>
        </w:rPr>
        <w:t xml:space="preserve"> modified by regulation.</w:t>
      </w:r>
      <w:r w:rsidR="003B0471">
        <w:rPr>
          <w:rFonts w:ascii="Times New Roman" w:hAnsi="Times New Roman" w:cs="Times New Roman"/>
          <w:lang w:val="en-US"/>
        </w:rPr>
        <w:t xml:space="preserve"> </w:t>
      </w:r>
      <w:r w:rsidRPr="00457B69">
        <w:rPr>
          <w:rFonts w:ascii="Times New Roman" w:hAnsi="Times New Roman" w:cs="Times New Roman"/>
          <w:lang w:val="en-US"/>
        </w:rPr>
        <w:t>This codifies Canada’s intention to adopt internationally recognized principles for transfer pricing analysis and compliance.</w:t>
      </w:r>
    </w:p>
    <w:p w14:paraId="6D2C9176" w14:textId="5D49EAC5" w:rsidR="00457B69" w:rsidRPr="00457B69" w:rsidRDefault="00457B69" w:rsidP="00457B69">
      <w:pPr>
        <w:jc w:val="both"/>
        <w:rPr>
          <w:rFonts w:ascii="Times New Roman" w:hAnsi="Times New Roman" w:cs="Times New Roman"/>
          <w:lang w:val="en-US"/>
        </w:rPr>
      </w:pPr>
      <w:r w:rsidRPr="00457B69">
        <w:rPr>
          <w:rFonts w:ascii="Times New Roman" w:hAnsi="Times New Roman" w:cs="Times New Roman"/>
          <w:lang w:val="en-US"/>
        </w:rPr>
        <w:t xml:space="preserve">The budget </w:t>
      </w:r>
      <w:r w:rsidR="00E94CCC">
        <w:rPr>
          <w:rFonts w:ascii="Times New Roman" w:hAnsi="Times New Roman" w:cs="Times New Roman"/>
          <w:lang w:val="en-US"/>
        </w:rPr>
        <w:t xml:space="preserve">also </w:t>
      </w:r>
      <w:r w:rsidRPr="00457B69">
        <w:rPr>
          <w:rFonts w:ascii="Times New Roman" w:hAnsi="Times New Roman" w:cs="Times New Roman"/>
          <w:lang w:val="en-US"/>
        </w:rPr>
        <w:t>proposes to replace the existing transfer pricing adjustment and recharacterization rules with a single transfer pricing adjustment rule, which will apply when the “actual conditions” of a transaction (or series of transactions) differ from “arm’s length conditions.”</w:t>
      </w:r>
    </w:p>
    <w:p w14:paraId="61D55F5D" w14:textId="27117706" w:rsidR="00457B69" w:rsidRPr="00457B69" w:rsidRDefault="00457B69" w:rsidP="00457B69">
      <w:pPr>
        <w:jc w:val="both"/>
        <w:rPr>
          <w:rFonts w:ascii="Times New Roman" w:hAnsi="Times New Roman" w:cs="Times New Roman"/>
          <w:lang w:val="en-US"/>
        </w:rPr>
      </w:pPr>
      <w:r w:rsidRPr="00457B69">
        <w:rPr>
          <w:rFonts w:ascii="Times New Roman" w:hAnsi="Times New Roman" w:cs="Times New Roman"/>
          <w:lang w:val="en-US"/>
        </w:rPr>
        <w:t xml:space="preserve">This </w:t>
      </w:r>
      <w:r w:rsidR="0012777A">
        <w:rPr>
          <w:rFonts w:ascii="Times New Roman" w:hAnsi="Times New Roman" w:cs="Times New Roman"/>
          <w:lang w:val="en-US"/>
        </w:rPr>
        <w:t xml:space="preserve">newly proposed </w:t>
      </w:r>
      <w:r w:rsidRPr="00457B69">
        <w:rPr>
          <w:rFonts w:ascii="Times New Roman" w:hAnsi="Times New Roman" w:cs="Times New Roman"/>
          <w:lang w:val="en-US"/>
        </w:rPr>
        <w:t>single adjustment rule would apply if</w:t>
      </w:r>
      <w:r w:rsidR="006C26E1">
        <w:rPr>
          <w:rFonts w:ascii="Times New Roman" w:hAnsi="Times New Roman" w:cs="Times New Roman"/>
          <w:lang w:val="en-US"/>
        </w:rPr>
        <w:t xml:space="preserve"> the following two conditions </w:t>
      </w:r>
      <w:proofErr w:type="gramStart"/>
      <w:r w:rsidR="0012777A">
        <w:rPr>
          <w:rFonts w:ascii="Times New Roman" w:hAnsi="Times New Roman" w:cs="Times New Roman"/>
          <w:lang w:val="en-US"/>
        </w:rPr>
        <w:t>a</w:t>
      </w:r>
      <w:r w:rsidR="006C26E1">
        <w:rPr>
          <w:rFonts w:ascii="Times New Roman" w:hAnsi="Times New Roman" w:cs="Times New Roman"/>
          <w:lang w:val="en-US"/>
        </w:rPr>
        <w:t>re</w:t>
      </w:r>
      <w:proofErr w:type="gramEnd"/>
      <w:r w:rsidR="006C26E1">
        <w:rPr>
          <w:rFonts w:ascii="Times New Roman" w:hAnsi="Times New Roman" w:cs="Times New Roman"/>
          <w:lang w:val="en-US"/>
        </w:rPr>
        <w:t xml:space="preserve"> met</w:t>
      </w:r>
      <w:r w:rsidRPr="00457B69">
        <w:rPr>
          <w:rFonts w:ascii="Times New Roman" w:hAnsi="Times New Roman" w:cs="Times New Roman"/>
          <w:lang w:val="en-US"/>
        </w:rPr>
        <w:t>:</w:t>
      </w:r>
    </w:p>
    <w:p w14:paraId="51B86A98" w14:textId="77777777" w:rsidR="00457B69" w:rsidRPr="00457B69" w:rsidRDefault="00457B69" w:rsidP="003B0471">
      <w:pPr>
        <w:numPr>
          <w:ilvl w:val="0"/>
          <w:numId w:val="22"/>
        </w:numPr>
        <w:jc w:val="both"/>
        <w:rPr>
          <w:rFonts w:ascii="Times New Roman" w:hAnsi="Times New Roman" w:cs="Times New Roman"/>
          <w:lang w:val="en-US"/>
        </w:rPr>
      </w:pPr>
      <w:r w:rsidRPr="00457B69">
        <w:rPr>
          <w:rFonts w:ascii="Times New Roman" w:hAnsi="Times New Roman" w:cs="Times New Roman"/>
          <w:lang w:val="en-US"/>
        </w:rPr>
        <w:t>There is a transaction (or series) between a Canadian taxpayer and a non-resident person with whom the taxpayer does not deal at arm’s length; and</w:t>
      </w:r>
    </w:p>
    <w:p w14:paraId="2ADE3411" w14:textId="77777777" w:rsidR="00457B69" w:rsidRPr="00457B69" w:rsidRDefault="00457B69" w:rsidP="003B0471">
      <w:pPr>
        <w:numPr>
          <w:ilvl w:val="0"/>
          <w:numId w:val="22"/>
        </w:numPr>
        <w:jc w:val="both"/>
        <w:rPr>
          <w:rFonts w:ascii="Times New Roman" w:hAnsi="Times New Roman" w:cs="Times New Roman"/>
          <w:lang w:val="en-US"/>
        </w:rPr>
      </w:pPr>
      <w:r w:rsidRPr="00457B69">
        <w:rPr>
          <w:rFonts w:ascii="Times New Roman" w:hAnsi="Times New Roman" w:cs="Times New Roman"/>
          <w:lang w:val="en-US"/>
        </w:rPr>
        <w:lastRenderedPageBreak/>
        <w:t>The transaction (or series) includes actual conditions that differ from those that would exist between arm’s length parties in comparable circumstances.</w:t>
      </w:r>
    </w:p>
    <w:p w14:paraId="3DEFC0EC" w14:textId="272EFE25" w:rsidR="00457B69" w:rsidRPr="00457B69" w:rsidRDefault="00457B69" w:rsidP="00457B69">
      <w:pPr>
        <w:jc w:val="both"/>
        <w:rPr>
          <w:rFonts w:ascii="Times New Roman" w:hAnsi="Times New Roman" w:cs="Times New Roman"/>
          <w:lang w:val="en-US"/>
        </w:rPr>
      </w:pPr>
      <w:r w:rsidRPr="00457B69">
        <w:rPr>
          <w:rFonts w:ascii="Times New Roman" w:hAnsi="Times New Roman" w:cs="Times New Roman"/>
          <w:lang w:val="en-US"/>
        </w:rPr>
        <w:t xml:space="preserve">Under the proposed legislation, each relevant transaction (or series) must be analyzed based on its </w:t>
      </w:r>
      <w:r w:rsidR="00E94CCC">
        <w:rPr>
          <w:rFonts w:ascii="Times New Roman" w:hAnsi="Times New Roman" w:cs="Times New Roman"/>
          <w:lang w:val="en-US"/>
        </w:rPr>
        <w:t>“</w:t>
      </w:r>
      <w:r w:rsidRPr="00457B69">
        <w:rPr>
          <w:rFonts w:ascii="Times New Roman" w:hAnsi="Times New Roman" w:cs="Times New Roman"/>
          <w:lang w:val="en-US"/>
        </w:rPr>
        <w:t>economically relevant characteristics</w:t>
      </w:r>
      <w:r w:rsidR="00E94CCC">
        <w:rPr>
          <w:rFonts w:ascii="Times New Roman" w:hAnsi="Times New Roman" w:cs="Times New Roman"/>
          <w:lang w:val="en-US"/>
        </w:rPr>
        <w:t>”</w:t>
      </w:r>
      <w:r w:rsidRPr="00457B69">
        <w:rPr>
          <w:rFonts w:ascii="Times New Roman" w:hAnsi="Times New Roman" w:cs="Times New Roman"/>
          <w:lang w:val="en-US"/>
        </w:rPr>
        <w:t>, which include</w:t>
      </w:r>
      <w:r w:rsidR="006C26E1">
        <w:rPr>
          <w:rFonts w:ascii="Times New Roman" w:hAnsi="Times New Roman" w:cs="Times New Roman"/>
          <w:lang w:val="en-US"/>
        </w:rPr>
        <w:t xml:space="preserve"> the following five comparability factors</w:t>
      </w:r>
      <w:r w:rsidRPr="00457B69">
        <w:rPr>
          <w:rFonts w:ascii="Times New Roman" w:hAnsi="Times New Roman" w:cs="Times New Roman"/>
          <w:lang w:val="en-US"/>
        </w:rPr>
        <w:t>:</w:t>
      </w:r>
    </w:p>
    <w:p w14:paraId="04A0C1A8" w14:textId="3F845A99" w:rsidR="00457B69" w:rsidRPr="00457B69" w:rsidRDefault="00687C6E" w:rsidP="00E94CCC">
      <w:pPr>
        <w:numPr>
          <w:ilvl w:val="0"/>
          <w:numId w:val="21"/>
        </w:numPr>
        <w:jc w:val="both"/>
        <w:rPr>
          <w:rFonts w:ascii="Times New Roman" w:hAnsi="Times New Roman" w:cs="Times New Roman"/>
          <w:lang w:val="en-US"/>
        </w:rPr>
      </w:pPr>
      <w:r>
        <w:rPr>
          <w:rFonts w:ascii="Times New Roman" w:hAnsi="Times New Roman" w:cs="Times New Roman"/>
          <w:lang w:val="en-US"/>
        </w:rPr>
        <w:t>T</w:t>
      </w:r>
      <w:r w:rsidR="00457B69" w:rsidRPr="00457B69">
        <w:rPr>
          <w:rFonts w:ascii="Times New Roman" w:hAnsi="Times New Roman" w:cs="Times New Roman"/>
          <w:lang w:val="en-US"/>
        </w:rPr>
        <w:t>he contractual terms of the transaction</w:t>
      </w:r>
      <w:r w:rsidR="006C26E1">
        <w:rPr>
          <w:rFonts w:ascii="Times New Roman" w:hAnsi="Times New Roman" w:cs="Times New Roman"/>
          <w:lang w:val="en-US"/>
        </w:rPr>
        <w:t>.</w:t>
      </w:r>
    </w:p>
    <w:p w14:paraId="529625EA" w14:textId="426F1D25" w:rsidR="00687C6E" w:rsidRDefault="00687C6E" w:rsidP="00E94CCC">
      <w:pPr>
        <w:numPr>
          <w:ilvl w:val="0"/>
          <w:numId w:val="21"/>
        </w:numPr>
        <w:jc w:val="both"/>
        <w:rPr>
          <w:rFonts w:ascii="Times New Roman" w:hAnsi="Times New Roman" w:cs="Times New Roman"/>
          <w:lang w:val="en-US"/>
        </w:rPr>
      </w:pPr>
      <w:r>
        <w:rPr>
          <w:rFonts w:ascii="Times New Roman" w:hAnsi="Times New Roman" w:cs="Times New Roman"/>
          <w:lang w:val="en-US"/>
        </w:rPr>
        <w:t xml:space="preserve">The </w:t>
      </w:r>
      <w:r w:rsidRPr="00687C6E">
        <w:rPr>
          <w:rFonts w:ascii="Times New Roman" w:hAnsi="Times New Roman" w:cs="Times New Roman"/>
          <w:lang w:val="en-US"/>
        </w:rPr>
        <w:t xml:space="preserve">characteristics of </w:t>
      </w:r>
      <w:proofErr w:type="gramStart"/>
      <w:r w:rsidRPr="00687C6E">
        <w:rPr>
          <w:rFonts w:ascii="Times New Roman" w:hAnsi="Times New Roman" w:cs="Times New Roman"/>
          <w:lang w:val="en-US"/>
        </w:rPr>
        <w:t>the property</w:t>
      </w:r>
      <w:proofErr w:type="gramEnd"/>
      <w:r w:rsidRPr="00687C6E">
        <w:rPr>
          <w:rFonts w:ascii="Times New Roman" w:hAnsi="Times New Roman" w:cs="Times New Roman"/>
          <w:lang w:val="en-US"/>
        </w:rPr>
        <w:t xml:space="preserve"> or service</w:t>
      </w:r>
      <w:r>
        <w:rPr>
          <w:rFonts w:ascii="Times New Roman" w:hAnsi="Times New Roman" w:cs="Times New Roman"/>
          <w:lang w:val="en-US"/>
        </w:rPr>
        <w:t>.</w:t>
      </w:r>
    </w:p>
    <w:p w14:paraId="263207C6" w14:textId="7F150137" w:rsidR="00457B69" w:rsidRPr="00457B69" w:rsidRDefault="00687C6E" w:rsidP="00E94CCC">
      <w:pPr>
        <w:numPr>
          <w:ilvl w:val="0"/>
          <w:numId w:val="21"/>
        </w:numPr>
        <w:jc w:val="both"/>
        <w:rPr>
          <w:rFonts w:ascii="Times New Roman" w:hAnsi="Times New Roman" w:cs="Times New Roman"/>
          <w:lang w:val="en-US"/>
        </w:rPr>
      </w:pPr>
      <w:r>
        <w:rPr>
          <w:rFonts w:ascii="Times New Roman" w:hAnsi="Times New Roman" w:cs="Times New Roman"/>
          <w:lang w:val="en-US"/>
        </w:rPr>
        <w:t>T</w:t>
      </w:r>
      <w:r w:rsidR="00457B69" w:rsidRPr="00457B69">
        <w:rPr>
          <w:rFonts w:ascii="Times New Roman" w:hAnsi="Times New Roman" w:cs="Times New Roman"/>
          <w:lang w:val="en-US"/>
        </w:rPr>
        <w:t>he functions performed, assets used, and risks assumed by the parties</w:t>
      </w:r>
      <w:r w:rsidR="006C26E1">
        <w:rPr>
          <w:rFonts w:ascii="Times New Roman" w:hAnsi="Times New Roman" w:cs="Times New Roman"/>
          <w:lang w:val="en-US"/>
        </w:rPr>
        <w:t>.</w:t>
      </w:r>
    </w:p>
    <w:p w14:paraId="6861042E" w14:textId="1FE9DB08" w:rsidR="00457B69" w:rsidRPr="00457B69" w:rsidRDefault="00687C6E" w:rsidP="00E94CCC">
      <w:pPr>
        <w:numPr>
          <w:ilvl w:val="0"/>
          <w:numId w:val="21"/>
        </w:numPr>
        <w:jc w:val="both"/>
        <w:rPr>
          <w:rFonts w:ascii="Times New Roman" w:hAnsi="Times New Roman" w:cs="Times New Roman"/>
          <w:lang w:val="en-US"/>
        </w:rPr>
      </w:pPr>
      <w:r>
        <w:rPr>
          <w:rFonts w:ascii="Times New Roman" w:hAnsi="Times New Roman" w:cs="Times New Roman"/>
          <w:lang w:val="en-US"/>
        </w:rPr>
        <w:t>T</w:t>
      </w:r>
      <w:r w:rsidR="00457B69" w:rsidRPr="00457B69">
        <w:rPr>
          <w:rFonts w:ascii="Times New Roman" w:hAnsi="Times New Roman" w:cs="Times New Roman"/>
          <w:lang w:val="en-US"/>
        </w:rPr>
        <w:t>he economic and market context; and</w:t>
      </w:r>
    </w:p>
    <w:p w14:paraId="6CEA3CF6" w14:textId="19222794" w:rsidR="00457B69" w:rsidRPr="00457B69" w:rsidRDefault="00687C6E" w:rsidP="00E94CCC">
      <w:pPr>
        <w:numPr>
          <w:ilvl w:val="0"/>
          <w:numId w:val="21"/>
        </w:numPr>
        <w:jc w:val="both"/>
        <w:rPr>
          <w:rFonts w:ascii="Times New Roman" w:hAnsi="Times New Roman" w:cs="Times New Roman"/>
          <w:lang w:val="en-US"/>
        </w:rPr>
      </w:pPr>
      <w:r>
        <w:rPr>
          <w:rFonts w:ascii="Times New Roman" w:hAnsi="Times New Roman" w:cs="Times New Roman"/>
          <w:lang w:val="en-US"/>
        </w:rPr>
        <w:t>T</w:t>
      </w:r>
      <w:r w:rsidR="00457B69" w:rsidRPr="00457B69">
        <w:rPr>
          <w:rFonts w:ascii="Times New Roman" w:hAnsi="Times New Roman" w:cs="Times New Roman"/>
          <w:lang w:val="en-US"/>
        </w:rPr>
        <w:t>he business strategies pursued by the participants</w:t>
      </w:r>
      <w:r w:rsidR="006C26E1">
        <w:rPr>
          <w:rFonts w:ascii="Times New Roman" w:hAnsi="Times New Roman" w:cs="Times New Roman"/>
          <w:lang w:val="en-US"/>
        </w:rPr>
        <w:t>.</w:t>
      </w:r>
    </w:p>
    <w:p w14:paraId="7131AAEA" w14:textId="35314D69" w:rsidR="00457B69" w:rsidRPr="00457B69" w:rsidRDefault="00457B69" w:rsidP="00457B69">
      <w:pPr>
        <w:jc w:val="both"/>
        <w:rPr>
          <w:rFonts w:ascii="Times New Roman" w:hAnsi="Times New Roman" w:cs="Times New Roman"/>
          <w:lang w:val="en-US"/>
        </w:rPr>
      </w:pPr>
      <w:r w:rsidRPr="00457B69">
        <w:rPr>
          <w:rFonts w:ascii="Times New Roman" w:hAnsi="Times New Roman" w:cs="Times New Roman"/>
          <w:lang w:val="en-US"/>
        </w:rPr>
        <w:t xml:space="preserve">The proposed rules </w:t>
      </w:r>
      <w:proofErr w:type="gramStart"/>
      <w:r w:rsidRPr="00457B69">
        <w:rPr>
          <w:rFonts w:ascii="Times New Roman" w:hAnsi="Times New Roman" w:cs="Times New Roman"/>
          <w:lang w:val="en-US"/>
        </w:rPr>
        <w:t>emphasize</w:t>
      </w:r>
      <w:r w:rsidR="0012777A">
        <w:rPr>
          <w:rFonts w:ascii="Times New Roman" w:hAnsi="Times New Roman" w:cs="Times New Roman"/>
          <w:lang w:val="en-US"/>
        </w:rPr>
        <w:t xml:space="preserve"> on</w:t>
      </w:r>
      <w:proofErr w:type="gramEnd"/>
      <w:r w:rsidRPr="00457B69">
        <w:rPr>
          <w:rFonts w:ascii="Times New Roman" w:hAnsi="Times New Roman" w:cs="Times New Roman"/>
          <w:lang w:val="en-US"/>
        </w:rPr>
        <w:t xml:space="preserve"> the</w:t>
      </w:r>
      <w:r w:rsidR="003B0471">
        <w:rPr>
          <w:rFonts w:ascii="Times New Roman" w:hAnsi="Times New Roman" w:cs="Times New Roman"/>
          <w:lang w:val="en-US"/>
        </w:rPr>
        <w:t xml:space="preserve"> importance that should be given to the factual</w:t>
      </w:r>
      <w:r w:rsidRPr="00457B69">
        <w:rPr>
          <w:rFonts w:ascii="Times New Roman" w:hAnsi="Times New Roman" w:cs="Times New Roman"/>
          <w:lang w:val="en-US"/>
        </w:rPr>
        <w:t xml:space="preserve"> substance of the parties’ conduct rather than </w:t>
      </w:r>
      <w:r w:rsidR="003B0471">
        <w:rPr>
          <w:rFonts w:ascii="Times New Roman" w:hAnsi="Times New Roman" w:cs="Times New Roman"/>
          <w:lang w:val="en-US"/>
        </w:rPr>
        <w:t xml:space="preserve">only considering the </w:t>
      </w:r>
      <w:r w:rsidRPr="00457B69">
        <w:rPr>
          <w:rFonts w:ascii="Times New Roman" w:hAnsi="Times New Roman" w:cs="Times New Roman"/>
          <w:lang w:val="en-US"/>
        </w:rPr>
        <w:t>legal form of the agreements</w:t>
      </w:r>
      <w:r w:rsidR="003B0471">
        <w:rPr>
          <w:rFonts w:ascii="Times New Roman" w:hAnsi="Times New Roman" w:cs="Times New Roman"/>
          <w:lang w:val="en-US"/>
        </w:rPr>
        <w:t xml:space="preserve"> in place</w:t>
      </w:r>
      <w:r w:rsidR="0012777A">
        <w:rPr>
          <w:rFonts w:ascii="Times New Roman" w:hAnsi="Times New Roman" w:cs="Times New Roman"/>
          <w:lang w:val="en-US"/>
        </w:rPr>
        <w:t xml:space="preserve"> binding such parties</w:t>
      </w:r>
      <w:r w:rsidRPr="00457B69">
        <w:rPr>
          <w:rFonts w:ascii="Times New Roman" w:hAnsi="Times New Roman" w:cs="Times New Roman"/>
          <w:lang w:val="en-US"/>
        </w:rPr>
        <w:t>.</w:t>
      </w:r>
    </w:p>
    <w:p w14:paraId="46A09EAC" w14:textId="36359700" w:rsidR="00687C6E" w:rsidRPr="00457B69" w:rsidRDefault="00E94CCC" w:rsidP="00687C6E">
      <w:pPr>
        <w:jc w:val="both"/>
        <w:rPr>
          <w:rFonts w:ascii="Times New Roman" w:hAnsi="Times New Roman" w:cs="Times New Roman"/>
          <w:lang w:val="en-US"/>
        </w:rPr>
      </w:pPr>
      <w:r>
        <w:rPr>
          <w:rFonts w:ascii="Times New Roman" w:hAnsi="Times New Roman" w:cs="Times New Roman"/>
          <w:lang w:val="en-US"/>
        </w:rPr>
        <w:t>Under this new modernized regime, a</w:t>
      </w:r>
      <w:r w:rsidR="00687C6E" w:rsidRPr="00457B69">
        <w:rPr>
          <w:rFonts w:ascii="Times New Roman" w:hAnsi="Times New Roman" w:cs="Times New Roman"/>
          <w:lang w:val="en-US"/>
        </w:rPr>
        <w:t xml:space="preserve"> transaction (or series) will be deemed to include non–arm’s length conditions if a condition that would have existed between arm’s length parties in comparable circumstances is absent.</w:t>
      </w:r>
    </w:p>
    <w:p w14:paraId="1976D576" w14:textId="77777777" w:rsidR="00457B69" w:rsidRPr="00457B69" w:rsidRDefault="00457B69" w:rsidP="00457B69">
      <w:pPr>
        <w:jc w:val="both"/>
        <w:rPr>
          <w:rFonts w:ascii="Times New Roman" w:hAnsi="Times New Roman" w:cs="Times New Roman"/>
          <w:lang w:val="en-US"/>
        </w:rPr>
      </w:pPr>
      <w:r w:rsidRPr="00457B69">
        <w:rPr>
          <w:rFonts w:ascii="Times New Roman" w:hAnsi="Times New Roman" w:cs="Times New Roman"/>
          <w:lang w:val="en-US"/>
        </w:rPr>
        <w:t>The term “conditions” is broadly defined and encompasses price, rate, gross margin, net margin, profit allocation, cost contribution, and any commercial or financial terms relevant to the transaction.</w:t>
      </w:r>
    </w:p>
    <w:p w14:paraId="51B3C43E" w14:textId="77777777" w:rsidR="00457B69" w:rsidRPr="00457B69" w:rsidRDefault="00457B69" w:rsidP="00457B69">
      <w:pPr>
        <w:jc w:val="both"/>
        <w:rPr>
          <w:rFonts w:ascii="Times New Roman" w:hAnsi="Times New Roman" w:cs="Times New Roman"/>
          <w:lang w:val="en-US"/>
        </w:rPr>
      </w:pPr>
      <w:r w:rsidRPr="00457B69">
        <w:rPr>
          <w:rFonts w:ascii="Times New Roman" w:hAnsi="Times New Roman" w:cs="Times New Roman"/>
          <w:lang w:val="en-US"/>
        </w:rPr>
        <w:t>Budget 2025 also proposes several changes to enhance compliance and streamline administration:</w:t>
      </w:r>
    </w:p>
    <w:p w14:paraId="787C621A" w14:textId="163BBD01" w:rsidR="00457B69" w:rsidRPr="00457B69" w:rsidRDefault="00457B69" w:rsidP="00E94CCC">
      <w:pPr>
        <w:numPr>
          <w:ilvl w:val="0"/>
          <w:numId w:val="20"/>
        </w:numPr>
        <w:jc w:val="both"/>
        <w:rPr>
          <w:rFonts w:ascii="Times New Roman" w:hAnsi="Times New Roman" w:cs="Times New Roman"/>
          <w:lang w:val="en-US"/>
        </w:rPr>
      </w:pPr>
      <w:proofErr w:type="gramStart"/>
      <w:r w:rsidRPr="00457B69">
        <w:rPr>
          <w:rFonts w:ascii="Times New Roman" w:hAnsi="Times New Roman" w:cs="Times New Roman"/>
          <w:lang w:val="en-US"/>
        </w:rPr>
        <w:t>The threshold for</w:t>
      </w:r>
      <w:proofErr w:type="gramEnd"/>
      <w:r w:rsidRPr="00457B69">
        <w:rPr>
          <w:rFonts w:ascii="Times New Roman" w:hAnsi="Times New Roman" w:cs="Times New Roman"/>
          <w:lang w:val="en-US"/>
        </w:rPr>
        <w:t xml:space="preserve"> </w:t>
      </w:r>
      <w:proofErr w:type="gramStart"/>
      <w:r w:rsidRPr="00457B69">
        <w:rPr>
          <w:rFonts w:ascii="Times New Roman" w:hAnsi="Times New Roman" w:cs="Times New Roman"/>
          <w:lang w:val="en-US"/>
        </w:rPr>
        <w:t>transfer pricing</w:t>
      </w:r>
      <w:proofErr w:type="gramEnd"/>
      <w:r w:rsidRPr="00457B69">
        <w:rPr>
          <w:rFonts w:ascii="Times New Roman" w:hAnsi="Times New Roman" w:cs="Times New Roman"/>
          <w:lang w:val="en-US"/>
        </w:rPr>
        <w:t xml:space="preserve"> penalties w</w:t>
      </w:r>
      <w:r w:rsidR="0012777A">
        <w:rPr>
          <w:rFonts w:ascii="Times New Roman" w:hAnsi="Times New Roman" w:cs="Times New Roman"/>
          <w:lang w:val="en-US"/>
        </w:rPr>
        <w:t>ould</w:t>
      </w:r>
      <w:r w:rsidRPr="00457B69">
        <w:rPr>
          <w:rFonts w:ascii="Times New Roman" w:hAnsi="Times New Roman" w:cs="Times New Roman"/>
          <w:lang w:val="en-US"/>
        </w:rPr>
        <w:t xml:space="preserve"> increase from $5 million to $10 million.</w:t>
      </w:r>
    </w:p>
    <w:p w14:paraId="56CC68A5" w14:textId="68E9FCEA" w:rsidR="00457B69" w:rsidRPr="00457B69" w:rsidRDefault="00457B69" w:rsidP="00E94CCC">
      <w:pPr>
        <w:numPr>
          <w:ilvl w:val="0"/>
          <w:numId w:val="20"/>
        </w:numPr>
        <w:jc w:val="both"/>
        <w:rPr>
          <w:rFonts w:ascii="Times New Roman" w:hAnsi="Times New Roman" w:cs="Times New Roman"/>
          <w:lang w:val="en-US"/>
        </w:rPr>
      </w:pPr>
      <w:r w:rsidRPr="00457B69">
        <w:rPr>
          <w:rFonts w:ascii="Times New Roman" w:hAnsi="Times New Roman" w:cs="Times New Roman"/>
          <w:lang w:val="en-US"/>
        </w:rPr>
        <w:t>Transfer pricing documentation requirements w</w:t>
      </w:r>
      <w:r w:rsidR="0012777A">
        <w:rPr>
          <w:rFonts w:ascii="Times New Roman" w:hAnsi="Times New Roman" w:cs="Times New Roman"/>
          <w:lang w:val="en-US"/>
        </w:rPr>
        <w:t>ould</w:t>
      </w:r>
      <w:r w:rsidRPr="00457B69">
        <w:rPr>
          <w:rFonts w:ascii="Times New Roman" w:hAnsi="Times New Roman" w:cs="Times New Roman"/>
          <w:lang w:val="en-US"/>
        </w:rPr>
        <w:t xml:space="preserve"> be updated and clarified to align with the new definitions and principles, including:</w:t>
      </w:r>
    </w:p>
    <w:p w14:paraId="7AD75CAD" w14:textId="3BB80D22" w:rsidR="00457B69" w:rsidRPr="00457B69" w:rsidRDefault="0012777A" w:rsidP="00E94CCC">
      <w:pPr>
        <w:numPr>
          <w:ilvl w:val="1"/>
          <w:numId w:val="20"/>
        </w:numPr>
        <w:jc w:val="both"/>
        <w:rPr>
          <w:rFonts w:ascii="Times New Roman" w:hAnsi="Times New Roman" w:cs="Times New Roman"/>
          <w:lang w:val="en-US"/>
        </w:rPr>
      </w:pPr>
      <w:r>
        <w:rPr>
          <w:rFonts w:ascii="Times New Roman" w:hAnsi="Times New Roman" w:cs="Times New Roman"/>
          <w:lang w:val="en-US"/>
        </w:rPr>
        <w:t>E</w:t>
      </w:r>
      <w:r w:rsidR="00457B69" w:rsidRPr="00457B69">
        <w:rPr>
          <w:rFonts w:ascii="Times New Roman" w:hAnsi="Times New Roman" w:cs="Times New Roman"/>
          <w:lang w:val="en-US"/>
        </w:rPr>
        <w:t>xpanding the scope of relevant transactions to include dealings with any member of a multinational enterprise (MNE) group; and</w:t>
      </w:r>
    </w:p>
    <w:p w14:paraId="330B57C7" w14:textId="11DCD145" w:rsidR="00457B69" w:rsidRPr="00457B69" w:rsidRDefault="0012777A" w:rsidP="00E94CCC">
      <w:pPr>
        <w:numPr>
          <w:ilvl w:val="1"/>
          <w:numId w:val="20"/>
        </w:numPr>
        <w:jc w:val="both"/>
        <w:rPr>
          <w:rFonts w:ascii="Times New Roman" w:hAnsi="Times New Roman" w:cs="Times New Roman"/>
          <w:lang w:val="en-US"/>
        </w:rPr>
      </w:pPr>
      <w:r>
        <w:rPr>
          <w:rFonts w:ascii="Times New Roman" w:hAnsi="Times New Roman" w:cs="Times New Roman"/>
          <w:lang w:val="en-US"/>
        </w:rPr>
        <w:t>R</w:t>
      </w:r>
      <w:r w:rsidR="00457B69" w:rsidRPr="00457B69">
        <w:rPr>
          <w:rFonts w:ascii="Times New Roman" w:hAnsi="Times New Roman" w:cs="Times New Roman"/>
          <w:lang w:val="en-US"/>
        </w:rPr>
        <w:t>equiring the selection and application of the most appropriate transfer pricing method in accordance with the OECD Guidelines.</w:t>
      </w:r>
    </w:p>
    <w:p w14:paraId="55333BBE" w14:textId="77777777" w:rsidR="00457B69" w:rsidRPr="00457B69" w:rsidRDefault="00457B69" w:rsidP="00E94CCC">
      <w:pPr>
        <w:numPr>
          <w:ilvl w:val="0"/>
          <w:numId w:val="20"/>
        </w:numPr>
        <w:jc w:val="both"/>
        <w:rPr>
          <w:rFonts w:ascii="Times New Roman" w:hAnsi="Times New Roman" w:cs="Times New Roman"/>
          <w:lang w:val="en-US"/>
        </w:rPr>
      </w:pPr>
      <w:r w:rsidRPr="00457B69">
        <w:rPr>
          <w:rFonts w:ascii="Times New Roman" w:hAnsi="Times New Roman" w:cs="Times New Roman"/>
          <w:lang w:val="en-US"/>
        </w:rPr>
        <w:t>Simplified documentation requirements will be available when prescribed conditions are met.</w:t>
      </w:r>
    </w:p>
    <w:p w14:paraId="2987C8AF" w14:textId="77777777" w:rsidR="00457B69" w:rsidRPr="00457B69" w:rsidRDefault="00457B69" w:rsidP="00E94CCC">
      <w:pPr>
        <w:numPr>
          <w:ilvl w:val="0"/>
          <w:numId w:val="20"/>
        </w:numPr>
        <w:jc w:val="both"/>
        <w:rPr>
          <w:rFonts w:ascii="Times New Roman" w:hAnsi="Times New Roman" w:cs="Times New Roman"/>
          <w:lang w:val="en-US"/>
        </w:rPr>
      </w:pPr>
      <w:r w:rsidRPr="00457B69">
        <w:rPr>
          <w:rFonts w:ascii="Times New Roman" w:hAnsi="Times New Roman" w:cs="Times New Roman"/>
          <w:lang w:val="en-US"/>
        </w:rPr>
        <w:t>The response time for taxpayers to provide documentation to the Canada Revenue Agency (CRA) will be reduced from three months to 30 days, while the existing deadline to prepare or obtain documentation by the documentation-due date remains unchanged.</w:t>
      </w:r>
    </w:p>
    <w:p w14:paraId="06902F5F" w14:textId="77777777" w:rsidR="00457B69" w:rsidRPr="00457B69" w:rsidRDefault="00457B69" w:rsidP="00457B69">
      <w:pPr>
        <w:jc w:val="both"/>
        <w:rPr>
          <w:rFonts w:ascii="Times New Roman" w:hAnsi="Times New Roman" w:cs="Times New Roman"/>
          <w:lang w:val="en-US"/>
        </w:rPr>
      </w:pPr>
      <w:r w:rsidRPr="00457B69">
        <w:rPr>
          <w:rFonts w:ascii="Times New Roman" w:hAnsi="Times New Roman" w:cs="Times New Roman"/>
          <w:lang w:val="en-US"/>
        </w:rPr>
        <w:t>These measures will apply to taxation years beginning after November 4, 2025.</w:t>
      </w:r>
    </w:p>
    <w:p w14:paraId="1DF27FB8" w14:textId="099D3D46" w:rsidR="00CD1F76" w:rsidRPr="00DB6501" w:rsidRDefault="008E5DB3" w:rsidP="00103299">
      <w:pPr>
        <w:pStyle w:val="Titre1"/>
        <w:jc w:val="both"/>
        <w:rPr>
          <w:lang w:val="en-US"/>
        </w:rPr>
      </w:pPr>
      <w:bookmarkStart w:id="24" w:name="_Toc213427592"/>
      <w:r w:rsidRPr="00DB6501">
        <w:rPr>
          <w:lang w:val="en-US"/>
        </w:rPr>
        <w:lastRenderedPageBreak/>
        <w:t>Sales and Excise Tax Measures</w:t>
      </w:r>
      <w:bookmarkEnd w:id="24"/>
    </w:p>
    <w:p w14:paraId="05B218CF" w14:textId="6542CD86" w:rsidR="00CD1F76" w:rsidRPr="003F36E4" w:rsidRDefault="00847057" w:rsidP="00103299">
      <w:pPr>
        <w:pStyle w:val="Titre2"/>
        <w:jc w:val="both"/>
        <w:rPr>
          <w:lang w:val="en-US"/>
        </w:rPr>
      </w:pPr>
      <w:bookmarkStart w:id="25" w:name="_Toc213427593"/>
      <w:r w:rsidRPr="003F36E4">
        <w:rPr>
          <w:lang w:val="en-US"/>
        </w:rPr>
        <w:t>Underused Housing Tax</w:t>
      </w:r>
      <w:bookmarkEnd w:id="25"/>
    </w:p>
    <w:p w14:paraId="1D418661" w14:textId="2F3CDFA7" w:rsidR="003F36E4" w:rsidRPr="003F36E4" w:rsidRDefault="003F36E4" w:rsidP="00103299">
      <w:pPr>
        <w:jc w:val="both"/>
        <w:rPr>
          <w:lang w:val="en-US"/>
        </w:rPr>
      </w:pPr>
      <w:r w:rsidRPr="003F36E4">
        <w:rPr>
          <w:lang w:val="en-US"/>
        </w:rPr>
        <w:t xml:space="preserve">Introduced </w:t>
      </w:r>
      <w:r>
        <w:rPr>
          <w:lang w:val="en-US"/>
        </w:rPr>
        <w:t>for</w:t>
      </w:r>
      <w:r w:rsidRPr="003F36E4">
        <w:rPr>
          <w:lang w:val="en-US"/>
        </w:rPr>
        <w:t xml:space="preserve"> the 2022 taxation year, the Underused Housing Tax was designed to discourage the ownership of vacant or underutilized residential properties in Canada, particularly by non-resident owners. The tax imposed an annual rate of 1% on the value of the property.</w:t>
      </w:r>
    </w:p>
    <w:p w14:paraId="04756EBF" w14:textId="72D1422C" w:rsidR="003F36E4" w:rsidRDefault="003F36E4" w:rsidP="00103299">
      <w:pPr>
        <w:jc w:val="both"/>
        <w:rPr>
          <w:lang w:val="en-US"/>
        </w:rPr>
      </w:pPr>
      <w:r w:rsidRPr="003F36E4">
        <w:rPr>
          <w:lang w:val="en-US"/>
        </w:rPr>
        <w:t>Budget</w:t>
      </w:r>
      <w:r w:rsidR="0020250D">
        <w:rPr>
          <w:lang w:val="en-US"/>
        </w:rPr>
        <w:t xml:space="preserve"> 2025</w:t>
      </w:r>
      <w:r w:rsidRPr="003F36E4">
        <w:rPr>
          <w:lang w:val="en-US"/>
        </w:rPr>
        <w:t xml:space="preserve"> proposes to </w:t>
      </w:r>
      <w:r w:rsidR="005270F3">
        <w:rPr>
          <w:lang w:val="en-US"/>
        </w:rPr>
        <w:t>abolish</w:t>
      </w:r>
      <w:r w:rsidRPr="003F36E4">
        <w:rPr>
          <w:lang w:val="en-US"/>
        </w:rPr>
        <w:t xml:space="preserve"> this tax, effective for the 2025 calendar year, meaning that no return or payment w</w:t>
      </w:r>
      <w:r w:rsidR="00742452">
        <w:rPr>
          <w:lang w:val="en-US"/>
        </w:rPr>
        <w:t>ould</w:t>
      </w:r>
      <w:r w:rsidRPr="003F36E4">
        <w:rPr>
          <w:lang w:val="en-US"/>
        </w:rPr>
        <w:t xml:space="preserve"> be required for that year.</w:t>
      </w:r>
    </w:p>
    <w:p w14:paraId="2A1F801B" w14:textId="779ADC40" w:rsidR="00B163CB" w:rsidRPr="00847057" w:rsidRDefault="00847057" w:rsidP="00103299">
      <w:pPr>
        <w:pStyle w:val="Titre2"/>
        <w:jc w:val="both"/>
        <w:rPr>
          <w:lang w:val="en-US"/>
        </w:rPr>
      </w:pPr>
      <w:bookmarkStart w:id="26" w:name="_Toc213427594"/>
      <w:r w:rsidRPr="00847057">
        <w:rPr>
          <w:lang w:val="en-US"/>
        </w:rPr>
        <w:t>Luxury Tax on Aircraft and Vessels</w:t>
      </w:r>
      <w:bookmarkEnd w:id="26"/>
    </w:p>
    <w:p w14:paraId="76AF21F6" w14:textId="77777777" w:rsidR="001B1F6C" w:rsidRPr="001B1F6C" w:rsidRDefault="001B1F6C" w:rsidP="00103299">
      <w:pPr>
        <w:jc w:val="both"/>
        <w:rPr>
          <w:lang w:val="en-US"/>
        </w:rPr>
      </w:pPr>
      <w:r w:rsidRPr="001B1F6C">
        <w:rPr>
          <w:lang w:val="en-US"/>
        </w:rPr>
        <w:t>The Luxury Tax currently applies to high-value vehicles, aircraft, and vessels, calculated as the lesser of 10% of the total price or 20% of the amount exceeding the applicable threshold. This tax is levied upon sale, importation, lease, or substantial modification of the property.</w:t>
      </w:r>
    </w:p>
    <w:p w14:paraId="37B6C7B0" w14:textId="0E05DEE7" w:rsidR="001B1F6C" w:rsidRPr="001B1F6C" w:rsidRDefault="001B1F6C" w:rsidP="00103299">
      <w:pPr>
        <w:jc w:val="both"/>
        <w:rPr>
          <w:lang w:val="en-US"/>
        </w:rPr>
      </w:pPr>
      <w:r w:rsidRPr="001B1F6C">
        <w:rPr>
          <w:lang w:val="en-US"/>
        </w:rPr>
        <w:t>Budget</w:t>
      </w:r>
      <w:r w:rsidR="0020250D">
        <w:rPr>
          <w:lang w:val="en-US"/>
        </w:rPr>
        <w:t xml:space="preserve"> 2025</w:t>
      </w:r>
      <w:r w:rsidRPr="001B1F6C">
        <w:rPr>
          <w:lang w:val="en-US"/>
        </w:rPr>
        <w:t xml:space="preserve"> proposes that the Luxury Tax be eliminated for high-value aircraft and vessels, effective</w:t>
      </w:r>
      <w:r w:rsidR="006968BE">
        <w:rPr>
          <w:lang w:val="en-US"/>
        </w:rPr>
        <w:t xml:space="preserve"> </w:t>
      </w:r>
      <w:r w:rsidR="00FA73EA">
        <w:rPr>
          <w:lang w:val="en-US"/>
        </w:rPr>
        <w:t>after</w:t>
      </w:r>
      <w:r w:rsidR="006968BE">
        <w:rPr>
          <w:lang w:val="en-US"/>
        </w:rPr>
        <w:t xml:space="preserve"> Budget Day 2025</w:t>
      </w:r>
      <w:r w:rsidRPr="001B1F6C">
        <w:rPr>
          <w:lang w:val="en-US"/>
        </w:rPr>
        <w:t>, covering sales, imports, and major improvements. It is important to note that the tax w</w:t>
      </w:r>
      <w:r w:rsidR="005270F3">
        <w:rPr>
          <w:lang w:val="en-US"/>
        </w:rPr>
        <w:t>ould</w:t>
      </w:r>
      <w:r w:rsidRPr="001B1F6C">
        <w:rPr>
          <w:lang w:val="en-US"/>
        </w:rPr>
        <w:t xml:space="preserve"> remain</w:t>
      </w:r>
      <w:r w:rsidR="0012777A">
        <w:rPr>
          <w:lang w:val="en-US"/>
        </w:rPr>
        <w:t xml:space="preserve"> applicable</w:t>
      </w:r>
      <w:r w:rsidRPr="001B1F6C">
        <w:rPr>
          <w:lang w:val="en-US"/>
        </w:rPr>
        <w:t xml:space="preserve"> for </w:t>
      </w:r>
      <w:r w:rsidR="0012777A">
        <w:rPr>
          <w:lang w:val="en-US"/>
        </w:rPr>
        <w:t xml:space="preserve">Luxury </w:t>
      </w:r>
      <w:r w:rsidRPr="001B1F6C">
        <w:rPr>
          <w:lang w:val="en-US"/>
        </w:rPr>
        <w:t>vehicles.</w:t>
      </w:r>
    </w:p>
    <w:p w14:paraId="7A17855F" w14:textId="6DD3D21D" w:rsidR="001B1F6C" w:rsidRPr="001B1F6C" w:rsidRDefault="001B1F6C" w:rsidP="00103299">
      <w:pPr>
        <w:jc w:val="both"/>
        <w:rPr>
          <w:lang w:val="en-US"/>
        </w:rPr>
      </w:pPr>
      <w:r w:rsidRPr="001B1F6C">
        <w:rPr>
          <w:lang w:val="en-US"/>
        </w:rPr>
        <w:t>Registered sellers w</w:t>
      </w:r>
      <w:r w:rsidR="005270F3">
        <w:rPr>
          <w:lang w:val="en-US"/>
        </w:rPr>
        <w:t>ould</w:t>
      </w:r>
      <w:r w:rsidRPr="001B1F6C">
        <w:rPr>
          <w:lang w:val="en-US"/>
        </w:rPr>
        <w:t xml:space="preserve"> be required to file a final return, but their registrations w</w:t>
      </w:r>
      <w:r w:rsidR="005270F3">
        <w:rPr>
          <w:lang w:val="en-US"/>
        </w:rPr>
        <w:t>ould</w:t>
      </w:r>
      <w:r w:rsidRPr="001B1F6C">
        <w:rPr>
          <w:lang w:val="en-US"/>
        </w:rPr>
        <w:t xml:space="preserve"> remain temporarily active to allow them to claim eligible refunds, particularly in cases involving exports.</w:t>
      </w:r>
    </w:p>
    <w:p w14:paraId="736496ED" w14:textId="1B5619BC" w:rsidR="001B1F6C" w:rsidRPr="001B1F6C" w:rsidRDefault="001B1F6C" w:rsidP="00103299">
      <w:pPr>
        <w:jc w:val="both"/>
        <w:rPr>
          <w:lang w:val="en-US"/>
        </w:rPr>
      </w:pPr>
      <w:r w:rsidRPr="001B1F6C">
        <w:rPr>
          <w:lang w:val="en-US"/>
        </w:rPr>
        <w:t>Beginning February 1, 2028, all registrations related to aircraft and vessels w</w:t>
      </w:r>
      <w:r w:rsidR="005270F3">
        <w:rPr>
          <w:lang w:val="en-US"/>
        </w:rPr>
        <w:t>ould</w:t>
      </w:r>
      <w:r w:rsidRPr="001B1F6C">
        <w:rPr>
          <w:lang w:val="en-US"/>
        </w:rPr>
        <w:t xml:space="preserve"> be automatically cancelled, thereby ending any remaining obligations or refund entitlements.</w:t>
      </w:r>
    </w:p>
    <w:p w14:paraId="3CA01A4B" w14:textId="21440AC9" w:rsidR="00AA239C" w:rsidRPr="00A60CEE" w:rsidRDefault="00881A17" w:rsidP="00103299">
      <w:pPr>
        <w:pStyle w:val="Titre2"/>
        <w:jc w:val="both"/>
        <w:rPr>
          <w:lang w:val="en-US"/>
        </w:rPr>
      </w:pPr>
      <w:bookmarkStart w:id="27" w:name="_Toc213427595"/>
      <w:r w:rsidRPr="00987FC0">
        <w:rPr>
          <w:lang w:val="en-US"/>
        </w:rPr>
        <w:t>Carousel Fraud</w:t>
      </w:r>
      <w:bookmarkEnd w:id="27"/>
    </w:p>
    <w:p w14:paraId="6CB72B27" w14:textId="2C78437D" w:rsidR="00A60CEE" w:rsidRPr="00A60CEE" w:rsidRDefault="00A60CEE" w:rsidP="00A60CEE">
      <w:pPr>
        <w:jc w:val="both"/>
        <w:rPr>
          <w:lang w:val="en-US"/>
        </w:rPr>
      </w:pPr>
      <w:r w:rsidRPr="00A60CEE">
        <w:rPr>
          <w:lang w:val="en-US"/>
        </w:rPr>
        <w:t>Carousel fraud involves situations where a business collects GST/HST but does not remit it to the government, while others in the supply chain claim input tax credits on the same amounts. These schemes often rely on a chain of real or fictitious transactions between several entities</w:t>
      </w:r>
      <w:r w:rsidR="008C575B">
        <w:rPr>
          <w:lang w:val="en-US"/>
        </w:rPr>
        <w:t xml:space="preserve"> </w:t>
      </w:r>
      <w:r w:rsidRPr="00A60CEE">
        <w:rPr>
          <w:lang w:val="en-US"/>
        </w:rPr>
        <w:t>to generate fraudulent tax refunds. For instance, fraudulent operators may circulate invoices for telecommunications or digital services among multiple companies to create the appearance of legitimate taxable sales.</w:t>
      </w:r>
    </w:p>
    <w:p w14:paraId="49FF7187" w14:textId="0E55062A" w:rsidR="00A60CEE" w:rsidRPr="00A60CEE" w:rsidRDefault="00A60CEE" w:rsidP="00A60CEE">
      <w:pPr>
        <w:jc w:val="both"/>
        <w:rPr>
          <w:lang w:val="en-US"/>
        </w:rPr>
      </w:pPr>
      <w:r w:rsidRPr="00A60CEE">
        <w:rPr>
          <w:lang w:val="en-US"/>
        </w:rPr>
        <w:t xml:space="preserve">To address this issue, Budget 2025 proposes amendments to the </w:t>
      </w:r>
      <w:r w:rsidRPr="00A60CEE">
        <w:rPr>
          <w:i/>
          <w:iCs/>
          <w:lang w:val="en-US"/>
        </w:rPr>
        <w:t>Excise Tax Act</w:t>
      </w:r>
      <w:r w:rsidRPr="00A60CEE">
        <w:rPr>
          <w:lang w:val="en-US"/>
        </w:rPr>
        <w:t xml:space="preserve"> that would introduce a reverse charge mechanism for certain telecommunications services, such as voice-over internet protocol. Under this mechanism, the purchaser rather than the supplier would be responsible for assessing and remitting the applicable GST/HST, reducing opportunities for fraud.</w:t>
      </w:r>
    </w:p>
    <w:p w14:paraId="50D8501B" w14:textId="2C519071" w:rsidR="00881A17" w:rsidRPr="001B1F6C" w:rsidRDefault="00A60CEE" w:rsidP="00103299">
      <w:pPr>
        <w:jc w:val="both"/>
        <w:rPr>
          <w:lang w:val="en-US"/>
        </w:rPr>
      </w:pPr>
      <w:r w:rsidRPr="00A60CEE">
        <w:rPr>
          <w:lang w:val="en-US"/>
        </w:rPr>
        <w:t>The government has invited comments on these proposals until January 12, 2026, before finalizing the legislation and determining whether to extend the new rules to other sectors.</w:t>
      </w:r>
    </w:p>
    <w:p w14:paraId="39D8DA63" w14:textId="25074591" w:rsidR="00AA239C" w:rsidRPr="001B1F6C" w:rsidRDefault="00881A17" w:rsidP="00103299">
      <w:pPr>
        <w:pStyle w:val="Titre2"/>
        <w:jc w:val="both"/>
        <w:rPr>
          <w:lang w:val="en-US"/>
        </w:rPr>
      </w:pPr>
      <w:bookmarkStart w:id="28" w:name="_Toc213427596"/>
      <w:r w:rsidRPr="001B1F6C">
        <w:rPr>
          <w:lang w:val="en-US"/>
        </w:rPr>
        <w:lastRenderedPageBreak/>
        <w:t>GST/HST Treatment of Manual Osteopathic Services</w:t>
      </w:r>
      <w:bookmarkEnd w:id="28"/>
    </w:p>
    <w:p w14:paraId="76855CC4" w14:textId="77777777" w:rsidR="00F739B9" w:rsidRPr="00F739B9" w:rsidRDefault="00F739B9" w:rsidP="00103299">
      <w:pPr>
        <w:jc w:val="both"/>
        <w:rPr>
          <w:lang w:val="en-US"/>
        </w:rPr>
      </w:pPr>
      <w:r w:rsidRPr="00F739B9">
        <w:rPr>
          <w:lang w:val="en-US"/>
        </w:rPr>
        <w:t>Health care services covered under a provincial plan, as well as most services provided by health professionals such as physicians and dentists, are generally exempt from the GST/HST.</w:t>
      </w:r>
    </w:p>
    <w:p w14:paraId="7544CA6E" w14:textId="1BBB313E" w:rsidR="00F739B9" w:rsidRPr="00F739B9" w:rsidRDefault="00F739B9" w:rsidP="00103299">
      <w:pPr>
        <w:jc w:val="both"/>
        <w:rPr>
          <w:lang w:val="en-US"/>
        </w:rPr>
      </w:pPr>
      <w:r w:rsidRPr="00F739B9">
        <w:rPr>
          <w:lang w:val="en-US"/>
        </w:rPr>
        <w:t>Budget</w:t>
      </w:r>
      <w:r w:rsidR="0020250D">
        <w:rPr>
          <w:lang w:val="en-US"/>
        </w:rPr>
        <w:t xml:space="preserve"> 2025</w:t>
      </w:r>
      <w:r w:rsidRPr="00F739B9">
        <w:rPr>
          <w:lang w:val="en-US"/>
        </w:rPr>
        <w:t xml:space="preserve"> clarifies that only Doctors of Osteopathy</w:t>
      </w:r>
      <w:r>
        <w:rPr>
          <w:lang w:val="en-US"/>
        </w:rPr>
        <w:t xml:space="preserve"> </w:t>
      </w:r>
      <w:r w:rsidRPr="00F739B9">
        <w:rPr>
          <w:lang w:val="en-US"/>
        </w:rPr>
        <w:t>w</w:t>
      </w:r>
      <w:r w:rsidR="005270F3">
        <w:rPr>
          <w:lang w:val="en-US"/>
        </w:rPr>
        <w:t>ould</w:t>
      </w:r>
      <w:r w:rsidRPr="00F739B9">
        <w:rPr>
          <w:lang w:val="en-US"/>
        </w:rPr>
        <w:t xml:space="preserve"> continue to qualify for this exemption, while services provided by non-physician osteopaths w</w:t>
      </w:r>
      <w:r w:rsidR="005270F3">
        <w:rPr>
          <w:lang w:val="en-US"/>
        </w:rPr>
        <w:t xml:space="preserve">ould </w:t>
      </w:r>
      <w:r w:rsidRPr="00F739B9">
        <w:rPr>
          <w:lang w:val="en-US"/>
        </w:rPr>
        <w:t>become taxable.</w:t>
      </w:r>
    </w:p>
    <w:p w14:paraId="6B16D685" w14:textId="64276C4B" w:rsidR="00F739B9" w:rsidRPr="00F739B9" w:rsidRDefault="00F739B9" w:rsidP="00103299">
      <w:pPr>
        <w:jc w:val="both"/>
        <w:rPr>
          <w:lang w:val="en-US"/>
        </w:rPr>
      </w:pPr>
      <w:r w:rsidRPr="00F739B9">
        <w:rPr>
          <w:lang w:val="en-US"/>
        </w:rPr>
        <w:t xml:space="preserve">This measure </w:t>
      </w:r>
      <w:r w:rsidR="005270F3">
        <w:rPr>
          <w:lang w:val="en-US"/>
        </w:rPr>
        <w:t>would apply</w:t>
      </w:r>
      <w:r w:rsidRPr="00F739B9">
        <w:rPr>
          <w:lang w:val="en-US"/>
        </w:rPr>
        <w:t xml:space="preserve"> to services rendered after June 5, 2025, subject to a brief transitional period.</w:t>
      </w:r>
    </w:p>
    <w:p w14:paraId="4176C766" w14:textId="2E7D825A" w:rsidR="00B471A7" w:rsidRPr="00B471A7" w:rsidRDefault="00B471A7" w:rsidP="00103299">
      <w:pPr>
        <w:pStyle w:val="Titre2"/>
        <w:jc w:val="both"/>
        <w:rPr>
          <w:lang w:val="en-US"/>
        </w:rPr>
      </w:pPr>
      <w:bookmarkStart w:id="29" w:name="_Toc213427597"/>
      <w:r w:rsidRPr="00B471A7">
        <w:rPr>
          <w:lang w:val="en-US"/>
        </w:rPr>
        <w:t>Eliminating the Goods and Services Tax (GST) for First-Time Home Buyers</w:t>
      </w:r>
      <w:bookmarkEnd w:id="29"/>
      <w:r w:rsidRPr="00B471A7">
        <w:rPr>
          <w:lang w:val="en-US"/>
        </w:rPr>
        <w:t xml:space="preserve"> </w:t>
      </w:r>
    </w:p>
    <w:p w14:paraId="1BF5FA63" w14:textId="0ADFA7CE" w:rsidR="00C30DAA" w:rsidRPr="00C30DAA" w:rsidRDefault="00C30DAA" w:rsidP="00103299">
      <w:pPr>
        <w:jc w:val="both"/>
        <w:rPr>
          <w:lang w:val="en-US"/>
        </w:rPr>
      </w:pPr>
      <w:r w:rsidRPr="00C30DAA">
        <w:rPr>
          <w:lang w:val="en-US"/>
        </w:rPr>
        <w:t xml:space="preserve">Announced on May 27, 2025, and confirmed in the current budget, the </w:t>
      </w:r>
      <w:r w:rsidR="0012777A">
        <w:rPr>
          <w:lang w:val="en-US"/>
        </w:rPr>
        <w:t xml:space="preserve">government </w:t>
      </w:r>
      <w:r w:rsidRPr="00C30DAA">
        <w:rPr>
          <w:lang w:val="en-US"/>
        </w:rPr>
        <w:t>plans to eliminate the GST on new homes valued at up to $1 million. A partial rebate of the tax would also apply to homes priced between $1 million and $1.5 million.</w:t>
      </w:r>
    </w:p>
    <w:p w14:paraId="67CED8C2" w14:textId="4C99D2EE" w:rsidR="0020250D" w:rsidRDefault="00C30DAA" w:rsidP="00103299">
      <w:pPr>
        <w:jc w:val="both"/>
        <w:rPr>
          <w:lang w:val="en-US"/>
        </w:rPr>
      </w:pPr>
      <w:r w:rsidRPr="00C30DAA">
        <w:rPr>
          <w:lang w:val="en-US"/>
        </w:rPr>
        <w:t>This measure aims to improve housing affordability and ease the financial burden of purchasing a first home. It w</w:t>
      </w:r>
      <w:r w:rsidR="005270F3">
        <w:rPr>
          <w:lang w:val="en-US"/>
        </w:rPr>
        <w:t xml:space="preserve">ould </w:t>
      </w:r>
      <w:r w:rsidRPr="00C30DAA">
        <w:rPr>
          <w:lang w:val="en-US"/>
        </w:rPr>
        <w:t xml:space="preserve">apply to purchase agreements signed on or </w:t>
      </w:r>
      <w:proofErr w:type="gramStart"/>
      <w:r w:rsidR="0012777A">
        <w:rPr>
          <w:lang w:val="en-US"/>
        </w:rPr>
        <w:t>entered into</w:t>
      </w:r>
      <w:proofErr w:type="gramEnd"/>
      <w:r w:rsidR="0012777A">
        <w:rPr>
          <w:lang w:val="en-US"/>
        </w:rPr>
        <w:t xml:space="preserve"> </w:t>
      </w:r>
      <w:r w:rsidRPr="00C30DAA">
        <w:rPr>
          <w:lang w:val="en-US"/>
        </w:rPr>
        <w:t>after May 27, 2025, and before 2031, as well as to construction projects that</w:t>
      </w:r>
      <w:r w:rsidR="00326963">
        <w:rPr>
          <w:lang w:val="en-US"/>
        </w:rPr>
        <w:t xml:space="preserve"> w</w:t>
      </w:r>
      <w:r w:rsidR="005270F3">
        <w:rPr>
          <w:lang w:val="en-US"/>
        </w:rPr>
        <w:t>ould</w:t>
      </w:r>
      <w:r w:rsidRPr="00C30DAA">
        <w:rPr>
          <w:lang w:val="en-US"/>
        </w:rPr>
        <w:t xml:space="preserve"> begin before 2031 and are substantially completed before 2036.</w:t>
      </w:r>
    </w:p>
    <w:p w14:paraId="215F9666" w14:textId="77777777" w:rsidR="0020250D" w:rsidRPr="0020250D" w:rsidRDefault="0020250D" w:rsidP="00103299">
      <w:pPr>
        <w:pStyle w:val="Titre1"/>
        <w:jc w:val="both"/>
        <w:rPr>
          <w:lang w:val="en-US"/>
        </w:rPr>
      </w:pPr>
      <w:bookmarkStart w:id="30" w:name="_Toc213427598"/>
      <w:r w:rsidRPr="0020250D">
        <w:rPr>
          <w:lang w:val="en-US"/>
        </w:rPr>
        <w:t>Previously Announced Measures</w:t>
      </w:r>
      <w:bookmarkEnd w:id="30"/>
    </w:p>
    <w:p w14:paraId="6B198757" w14:textId="640AB91C" w:rsidR="0020250D" w:rsidRDefault="0020250D" w:rsidP="00103299">
      <w:pPr>
        <w:jc w:val="both"/>
        <w:rPr>
          <w:lang w:val="en-US"/>
        </w:rPr>
      </w:pPr>
      <w:r w:rsidRPr="0020250D">
        <w:rPr>
          <w:lang w:val="en-US"/>
        </w:rPr>
        <w:t>Budget 202</w:t>
      </w:r>
      <w:r>
        <w:rPr>
          <w:lang w:val="en-US"/>
        </w:rPr>
        <w:t>5</w:t>
      </w:r>
      <w:r w:rsidRPr="0020250D">
        <w:rPr>
          <w:lang w:val="en-US"/>
        </w:rPr>
        <w:t xml:space="preserve"> confirms the implementation of various tax measures previously announced and modified to consider consultations, deliberations, and legislative developments, since their release.</w:t>
      </w:r>
      <w:r w:rsidR="00436D08">
        <w:rPr>
          <w:lang w:val="en-US"/>
        </w:rPr>
        <w:t xml:space="preserve"> </w:t>
      </w:r>
      <w:r w:rsidR="00087BD6">
        <w:rPr>
          <w:lang w:val="en-US"/>
        </w:rPr>
        <w:t>Below</w:t>
      </w:r>
      <w:r w:rsidR="00436D08">
        <w:rPr>
          <w:lang w:val="en-US"/>
        </w:rPr>
        <w:t xml:space="preserve"> is a list of </w:t>
      </w:r>
      <w:r w:rsidR="00087BD6">
        <w:rPr>
          <w:lang w:val="en-US"/>
        </w:rPr>
        <w:t>some of the</w:t>
      </w:r>
      <w:r w:rsidR="00436D08">
        <w:rPr>
          <w:lang w:val="en-US"/>
        </w:rPr>
        <w:t xml:space="preserve"> key previously announced tax measures which government intends t</w:t>
      </w:r>
      <w:r w:rsidR="00D778D3">
        <w:rPr>
          <w:lang w:val="en-US"/>
        </w:rPr>
        <w:t>o set in law:</w:t>
      </w:r>
    </w:p>
    <w:p w14:paraId="56FAF9DA" w14:textId="443DC66F" w:rsidR="00D778D3" w:rsidRPr="00D778D3" w:rsidRDefault="00D778D3" w:rsidP="00D778D3">
      <w:pPr>
        <w:numPr>
          <w:ilvl w:val="0"/>
          <w:numId w:val="24"/>
        </w:numPr>
        <w:shd w:val="clear" w:color="auto" w:fill="FFFFFF"/>
        <w:spacing w:after="375" w:line="240" w:lineRule="auto"/>
        <w:textAlignment w:val="baseline"/>
        <w:rPr>
          <w:rFonts w:eastAsia="Times New Roman" w:cstheme="minorHAnsi"/>
          <w:color w:val="000000"/>
          <w:kern w:val="0"/>
          <w:lang w:val="en-US"/>
          <w14:ligatures w14:val="none"/>
        </w:rPr>
      </w:pPr>
      <w:r w:rsidRPr="00087BD6">
        <w:rPr>
          <w:rFonts w:eastAsia="Times New Roman" w:cstheme="minorHAnsi"/>
          <w:color w:val="000000"/>
          <w:kern w:val="0"/>
          <w:lang w:val="en-US"/>
          <w14:ligatures w14:val="none"/>
        </w:rPr>
        <w:t xml:space="preserve">August </w:t>
      </w:r>
      <w:r w:rsidRPr="00D778D3">
        <w:rPr>
          <w:rFonts w:eastAsia="Times New Roman" w:cstheme="minorHAnsi"/>
          <w:color w:val="000000"/>
          <w:kern w:val="0"/>
          <w:lang w:val="en-US"/>
          <w14:ligatures w14:val="none"/>
        </w:rPr>
        <w:t>15, 2025</w:t>
      </w:r>
      <w:r w:rsidR="0012777A">
        <w:rPr>
          <w:rFonts w:eastAsia="Times New Roman" w:cstheme="minorHAnsi"/>
          <w:color w:val="000000"/>
          <w:kern w:val="0"/>
          <w:lang w:val="en-US"/>
          <w14:ligatures w14:val="none"/>
        </w:rPr>
        <w:t>,</w:t>
      </w:r>
      <w:r w:rsidRPr="00087BD6">
        <w:rPr>
          <w:rFonts w:eastAsia="Times New Roman" w:cstheme="minorHAnsi"/>
          <w:color w:val="000000"/>
          <w:kern w:val="0"/>
          <w:lang w:val="en-US"/>
          <w14:ligatures w14:val="none"/>
        </w:rPr>
        <w:t xml:space="preserve"> L</w:t>
      </w:r>
      <w:r w:rsidRPr="00D778D3">
        <w:rPr>
          <w:rFonts w:eastAsia="Times New Roman" w:cstheme="minorHAnsi"/>
          <w:color w:val="000000"/>
          <w:kern w:val="0"/>
          <w:lang w:val="en-US"/>
          <w14:ligatures w14:val="none"/>
        </w:rPr>
        <w:t>egislative and regulatory proposals</w:t>
      </w:r>
      <w:r w:rsidRPr="00087BD6">
        <w:rPr>
          <w:rFonts w:eastAsia="Times New Roman" w:cstheme="minorHAnsi"/>
          <w:color w:val="000000"/>
          <w:kern w:val="0"/>
          <w:lang w:val="en-US"/>
          <w14:ligatures w14:val="none"/>
        </w:rPr>
        <w:t>, including (among others)</w:t>
      </w:r>
      <w:r w:rsidRPr="00D778D3">
        <w:rPr>
          <w:rFonts w:eastAsia="Times New Roman" w:cstheme="minorHAnsi"/>
          <w:color w:val="000000"/>
          <w:kern w:val="0"/>
          <w:lang w:val="en-US"/>
          <w14:ligatures w14:val="none"/>
        </w:rPr>
        <w:t>:</w:t>
      </w:r>
    </w:p>
    <w:p w14:paraId="5FAC726E" w14:textId="77777777" w:rsidR="00D778D3" w:rsidRPr="00087BD6" w:rsidRDefault="00D778D3" w:rsidP="00F173FA">
      <w:pPr>
        <w:numPr>
          <w:ilvl w:val="1"/>
          <w:numId w:val="25"/>
        </w:numPr>
        <w:shd w:val="clear" w:color="auto" w:fill="FFFFFF"/>
        <w:spacing w:after="0" w:line="240" w:lineRule="auto"/>
        <w:textAlignment w:val="baseline"/>
        <w:rPr>
          <w:rFonts w:eastAsia="Times New Roman" w:cstheme="minorHAnsi"/>
          <w:color w:val="000000"/>
          <w:kern w:val="0"/>
          <w:lang w:val="en-US"/>
          <w14:ligatures w14:val="none"/>
        </w:rPr>
      </w:pPr>
      <w:r w:rsidRPr="00087BD6">
        <w:rPr>
          <w:rFonts w:eastAsia="Times New Roman" w:cstheme="minorHAnsi"/>
          <w:color w:val="000000"/>
          <w:kern w:val="0"/>
          <w:lang w:val="en-US"/>
          <w14:ligatures w14:val="none"/>
        </w:rPr>
        <w:t>T</w:t>
      </w:r>
      <w:r w:rsidRPr="00D778D3">
        <w:rPr>
          <w:rFonts w:eastAsia="Times New Roman" w:cstheme="minorHAnsi"/>
          <w:color w:val="000000"/>
          <w:kern w:val="0"/>
          <w:lang w:val="en-US"/>
          <w14:ligatures w14:val="none"/>
        </w:rPr>
        <w:t>he capital gains rollover on small business investments</w:t>
      </w:r>
      <w:r w:rsidRPr="00087BD6">
        <w:rPr>
          <w:rFonts w:eastAsia="Times New Roman" w:cstheme="minorHAnsi"/>
          <w:color w:val="000000"/>
          <w:kern w:val="0"/>
          <w:lang w:val="en-US"/>
          <w14:ligatures w14:val="none"/>
        </w:rPr>
        <w:t>.</w:t>
      </w:r>
    </w:p>
    <w:p w14:paraId="4C38A70A" w14:textId="05757303" w:rsidR="00D778D3" w:rsidRPr="00D778D3" w:rsidRDefault="00D778D3" w:rsidP="00F173FA">
      <w:pPr>
        <w:numPr>
          <w:ilvl w:val="1"/>
          <w:numId w:val="25"/>
        </w:numPr>
        <w:shd w:val="clear" w:color="auto" w:fill="FFFFFF"/>
        <w:spacing w:after="0" w:line="240" w:lineRule="auto"/>
        <w:textAlignment w:val="baseline"/>
        <w:rPr>
          <w:rFonts w:eastAsia="Times New Roman" w:cstheme="minorHAnsi"/>
          <w:color w:val="000000"/>
          <w:kern w:val="0"/>
          <w:lang w:val="en-US"/>
          <w14:ligatures w14:val="none"/>
        </w:rPr>
      </w:pPr>
      <w:r w:rsidRPr="00087BD6">
        <w:rPr>
          <w:rFonts w:eastAsia="Times New Roman" w:cstheme="minorHAnsi"/>
          <w:color w:val="000000"/>
          <w:kern w:val="0"/>
          <w:lang w:val="en-US"/>
          <w14:ligatures w14:val="none"/>
        </w:rPr>
        <w:t>T</w:t>
      </w:r>
      <w:r w:rsidRPr="00D778D3">
        <w:rPr>
          <w:rFonts w:eastAsia="Times New Roman" w:cstheme="minorHAnsi"/>
          <w:color w:val="000000"/>
          <w:kern w:val="0"/>
          <w:lang w:val="en-US"/>
          <w14:ligatures w14:val="none"/>
        </w:rPr>
        <w:t>he SR&amp;ED tax incentive progra</w:t>
      </w:r>
      <w:r w:rsidRPr="00087BD6">
        <w:rPr>
          <w:rFonts w:eastAsia="Times New Roman" w:cstheme="minorHAnsi"/>
          <w:color w:val="000000"/>
          <w:kern w:val="0"/>
          <w:lang w:val="en-US"/>
          <w14:ligatures w14:val="none"/>
        </w:rPr>
        <w:t xml:space="preserve">m </w:t>
      </w:r>
      <w:r w:rsidRPr="00087BD6">
        <w:rPr>
          <w:rFonts w:eastAsia="Times New Roman" w:cstheme="minorHAnsi"/>
          <w:i/>
          <w:iCs/>
          <w:color w:val="000000"/>
          <w:kern w:val="0"/>
          <w:lang w:val="en-US"/>
          <w14:ligatures w14:val="none"/>
        </w:rPr>
        <w:t>(as described above)</w:t>
      </w:r>
      <w:r w:rsidR="00087BD6">
        <w:rPr>
          <w:rFonts w:eastAsia="Times New Roman" w:cstheme="minorHAnsi"/>
          <w:i/>
          <w:iCs/>
          <w:color w:val="000000"/>
          <w:kern w:val="0"/>
          <w:lang w:val="en-US"/>
          <w14:ligatures w14:val="none"/>
        </w:rPr>
        <w:t>.</w:t>
      </w:r>
      <w:r w:rsidRPr="00087BD6">
        <w:rPr>
          <w:rFonts w:eastAsia="Times New Roman" w:cstheme="minorHAnsi"/>
          <w:color w:val="000000"/>
          <w:kern w:val="0"/>
          <w:lang w:val="en-US"/>
          <w14:ligatures w14:val="none"/>
        </w:rPr>
        <w:t xml:space="preserve"> </w:t>
      </w:r>
      <w:r w:rsidRPr="00087BD6">
        <w:rPr>
          <w:rFonts w:eastAsia="Times New Roman" w:cstheme="minorHAnsi"/>
          <w:color w:val="000000"/>
          <w:kern w:val="0"/>
          <w:bdr w:val="none" w:sz="0" w:space="0" w:color="auto" w:frame="1"/>
          <w:vertAlign w:val="superscript"/>
          <w:lang w:val="en-US"/>
          <w14:ligatures w14:val="none"/>
        </w:rPr>
        <w:t xml:space="preserve"> </w:t>
      </w:r>
    </w:p>
    <w:p w14:paraId="5862798A" w14:textId="3D3BF1D0" w:rsidR="00D778D3" w:rsidRPr="00D778D3" w:rsidRDefault="0012777A" w:rsidP="00D778D3">
      <w:pPr>
        <w:numPr>
          <w:ilvl w:val="1"/>
          <w:numId w:val="25"/>
        </w:numPr>
        <w:shd w:val="clear" w:color="auto" w:fill="FFFFFF"/>
        <w:spacing w:after="0" w:line="240" w:lineRule="auto"/>
        <w:textAlignment w:val="baseline"/>
        <w:rPr>
          <w:rFonts w:eastAsia="Times New Roman" w:cstheme="minorHAnsi"/>
          <w:color w:val="000000"/>
          <w:kern w:val="0"/>
          <w:lang w:val="en-US"/>
          <w14:ligatures w14:val="none"/>
        </w:rPr>
      </w:pPr>
      <w:r>
        <w:rPr>
          <w:rFonts w:eastAsia="Times New Roman" w:cstheme="minorHAnsi"/>
          <w:color w:val="000000"/>
          <w:kern w:val="0"/>
          <w:lang w:val="en-US"/>
          <w14:ligatures w14:val="none"/>
        </w:rPr>
        <w:t>T</w:t>
      </w:r>
      <w:r w:rsidR="00D778D3" w:rsidRPr="00D778D3">
        <w:rPr>
          <w:rFonts w:eastAsia="Times New Roman" w:cstheme="minorHAnsi"/>
          <w:color w:val="000000"/>
          <w:kern w:val="0"/>
          <w:lang w:val="en-US"/>
          <w14:ligatures w14:val="none"/>
        </w:rPr>
        <w:t>he excessive interest and financing expenses limitation rules</w:t>
      </w:r>
      <w:r w:rsidR="00087BD6">
        <w:rPr>
          <w:rFonts w:eastAsia="Times New Roman" w:cstheme="minorHAnsi"/>
          <w:color w:val="000000"/>
          <w:kern w:val="0"/>
          <w:lang w:val="en-US"/>
          <w14:ligatures w14:val="none"/>
        </w:rPr>
        <w:t>.</w:t>
      </w:r>
    </w:p>
    <w:p w14:paraId="73A285C1" w14:textId="2DBFEFF4" w:rsidR="00D778D3" w:rsidRPr="00087BD6" w:rsidRDefault="00D778D3" w:rsidP="004D2AC7">
      <w:pPr>
        <w:numPr>
          <w:ilvl w:val="1"/>
          <w:numId w:val="25"/>
        </w:numPr>
        <w:shd w:val="clear" w:color="auto" w:fill="FFFFFF"/>
        <w:spacing w:after="0" w:line="240" w:lineRule="auto"/>
        <w:textAlignment w:val="baseline"/>
        <w:rPr>
          <w:rFonts w:eastAsia="Times New Roman" w:cstheme="minorHAnsi"/>
          <w:color w:val="000000"/>
          <w:kern w:val="0"/>
          <w:lang w:val="en-US"/>
          <w14:ligatures w14:val="none"/>
        </w:rPr>
      </w:pPr>
      <w:r w:rsidRPr="00087BD6">
        <w:rPr>
          <w:rFonts w:eastAsia="Times New Roman" w:cstheme="minorHAnsi"/>
          <w:color w:val="000000"/>
          <w:kern w:val="0"/>
          <w:lang w:val="en-US"/>
          <w14:ligatures w14:val="none"/>
        </w:rPr>
        <w:t xml:space="preserve">The </w:t>
      </w:r>
      <w:r w:rsidRPr="00D778D3">
        <w:rPr>
          <w:rFonts w:eastAsia="Times New Roman" w:cstheme="minorHAnsi"/>
          <w:color w:val="000000"/>
          <w:kern w:val="0"/>
          <w:lang w:val="en-US"/>
          <w14:ligatures w14:val="none"/>
        </w:rPr>
        <w:t>substantive CCPCs</w:t>
      </w:r>
      <w:r w:rsidRPr="00087BD6">
        <w:rPr>
          <w:rFonts w:eastAsia="Times New Roman" w:cstheme="minorHAnsi"/>
          <w:color w:val="000000"/>
          <w:kern w:val="0"/>
          <w:lang w:val="en-US"/>
          <w14:ligatures w14:val="none"/>
        </w:rPr>
        <w:t xml:space="preserve"> rules</w:t>
      </w:r>
      <w:r w:rsidR="00087BD6">
        <w:rPr>
          <w:rFonts w:eastAsia="Times New Roman" w:cstheme="minorHAnsi"/>
          <w:color w:val="000000"/>
          <w:kern w:val="0"/>
          <w:lang w:val="en-US"/>
          <w14:ligatures w14:val="none"/>
        </w:rPr>
        <w:t>.</w:t>
      </w:r>
    </w:p>
    <w:p w14:paraId="5074C99A" w14:textId="376535B0" w:rsidR="00D778D3" w:rsidRPr="00D778D3" w:rsidRDefault="00D778D3" w:rsidP="004D2AC7">
      <w:pPr>
        <w:numPr>
          <w:ilvl w:val="1"/>
          <w:numId w:val="25"/>
        </w:numPr>
        <w:shd w:val="clear" w:color="auto" w:fill="FFFFFF"/>
        <w:spacing w:after="0" w:line="240" w:lineRule="auto"/>
        <w:textAlignment w:val="baseline"/>
        <w:rPr>
          <w:rFonts w:eastAsia="Times New Roman" w:cstheme="minorHAnsi"/>
          <w:color w:val="000000"/>
          <w:kern w:val="0"/>
          <w:lang w:val="en-US"/>
          <w14:ligatures w14:val="none"/>
        </w:rPr>
      </w:pPr>
      <w:r w:rsidRPr="00087BD6">
        <w:rPr>
          <w:rFonts w:eastAsia="Times New Roman" w:cstheme="minorHAnsi"/>
          <w:color w:val="000000"/>
          <w:kern w:val="0"/>
          <w:lang w:val="en-US"/>
          <w14:ligatures w14:val="none"/>
        </w:rPr>
        <w:t>Bare trust mandatory tax reporting rules (as described above)</w:t>
      </w:r>
      <w:r w:rsidR="00087BD6">
        <w:rPr>
          <w:rFonts w:eastAsia="Times New Roman" w:cstheme="minorHAnsi"/>
          <w:color w:val="000000"/>
          <w:kern w:val="0"/>
          <w:lang w:val="en-US"/>
          <w14:ligatures w14:val="none"/>
        </w:rPr>
        <w:t>.</w:t>
      </w:r>
    </w:p>
    <w:p w14:paraId="4A498E60" w14:textId="40C976CE" w:rsidR="00D778D3" w:rsidRPr="00D778D3" w:rsidRDefault="00D778D3" w:rsidP="00D778D3">
      <w:pPr>
        <w:numPr>
          <w:ilvl w:val="1"/>
          <w:numId w:val="25"/>
        </w:numPr>
        <w:shd w:val="clear" w:color="auto" w:fill="FFFFFF"/>
        <w:spacing w:after="0" w:line="240" w:lineRule="auto"/>
        <w:textAlignment w:val="baseline"/>
        <w:rPr>
          <w:rFonts w:eastAsia="Times New Roman" w:cstheme="minorHAnsi"/>
          <w:color w:val="000000"/>
          <w:kern w:val="0"/>
          <w:lang w:val="en-US"/>
          <w14:ligatures w14:val="none"/>
        </w:rPr>
      </w:pPr>
      <w:r w:rsidRPr="00087BD6">
        <w:rPr>
          <w:rFonts w:eastAsia="Times New Roman" w:cstheme="minorHAnsi"/>
          <w:color w:val="000000"/>
          <w:kern w:val="0"/>
          <w:lang w:val="en-US"/>
          <w14:ligatures w14:val="none"/>
        </w:rPr>
        <w:t>T</w:t>
      </w:r>
      <w:r w:rsidRPr="00D778D3">
        <w:rPr>
          <w:rFonts w:eastAsia="Times New Roman" w:cstheme="minorHAnsi"/>
          <w:color w:val="000000"/>
          <w:kern w:val="0"/>
          <w:lang w:val="en-US"/>
          <w14:ligatures w14:val="none"/>
        </w:rPr>
        <w:t>echnical amendments to the </w:t>
      </w:r>
      <w:r w:rsidRPr="00D778D3">
        <w:rPr>
          <w:rFonts w:eastAsia="Times New Roman" w:cstheme="minorHAnsi"/>
          <w:i/>
          <w:iCs/>
          <w:color w:val="000000"/>
          <w:kern w:val="0"/>
          <w:bdr w:val="none" w:sz="0" w:space="0" w:color="auto" w:frame="1"/>
          <w:lang w:val="en-US"/>
          <w14:ligatures w14:val="none"/>
        </w:rPr>
        <w:t>Global Minimum Tax Act</w:t>
      </w:r>
      <w:r w:rsidR="00087BD6">
        <w:rPr>
          <w:rFonts w:eastAsia="Times New Roman" w:cstheme="minorHAnsi"/>
          <w:i/>
          <w:iCs/>
          <w:color w:val="000000"/>
          <w:kern w:val="0"/>
          <w:bdr w:val="none" w:sz="0" w:space="0" w:color="auto" w:frame="1"/>
          <w:lang w:val="en-US"/>
          <w14:ligatures w14:val="none"/>
        </w:rPr>
        <w:t>.</w:t>
      </w:r>
    </w:p>
    <w:p w14:paraId="78B085B4" w14:textId="77777777" w:rsidR="00D778D3" w:rsidRPr="00087BD6" w:rsidRDefault="00D778D3" w:rsidP="00D778D3">
      <w:pPr>
        <w:shd w:val="clear" w:color="auto" w:fill="FFFFFF"/>
        <w:spacing w:after="0" w:line="240" w:lineRule="auto"/>
        <w:ind w:left="720"/>
        <w:textAlignment w:val="baseline"/>
        <w:rPr>
          <w:rFonts w:eastAsia="Times New Roman" w:cstheme="minorHAnsi"/>
          <w:color w:val="000000"/>
          <w:kern w:val="0"/>
          <w:lang w:val="en-US"/>
          <w14:ligatures w14:val="none"/>
        </w:rPr>
      </w:pPr>
    </w:p>
    <w:p w14:paraId="620CF6E5" w14:textId="1A4B059C" w:rsidR="00D778D3" w:rsidRDefault="00D778D3" w:rsidP="00D778D3">
      <w:pPr>
        <w:numPr>
          <w:ilvl w:val="0"/>
          <w:numId w:val="25"/>
        </w:numPr>
        <w:shd w:val="clear" w:color="auto" w:fill="FFFFFF"/>
        <w:spacing w:after="0" w:line="240" w:lineRule="auto"/>
        <w:textAlignment w:val="baseline"/>
        <w:rPr>
          <w:rFonts w:eastAsia="Times New Roman" w:cstheme="minorHAnsi"/>
          <w:color w:val="000000"/>
          <w:kern w:val="0"/>
          <w:lang w:val="en-US"/>
          <w14:ligatures w14:val="none"/>
        </w:rPr>
      </w:pPr>
      <w:r w:rsidRPr="00D778D3">
        <w:rPr>
          <w:rFonts w:eastAsia="Times New Roman" w:cstheme="minorHAnsi"/>
          <w:color w:val="000000"/>
          <w:kern w:val="0"/>
          <w:lang w:val="en-US"/>
          <w14:ligatures w14:val="none"/>
        </w:rPr>
        <w:t>2024 Fall Economic Statement</w:t>
      </w:r>
      <w:r w:rsidRPr="00087BD6">
        <w:rPr>
          <w:rFonts w:eastAsia="Times New Roman" w:cstheme="minorHAnsi"/>
          <w:color w:val="000000"/>
          <w:kern w:val="0"/>
          <w:lang w:val="en-US"/>
          <w14:ligatures w14:val="none"/>
        </w:rPr>
        <w:t xml:space="preserve"> L</w:t>
      </w:r>
      <w:r w:rsidRPr="00D778D3">
        <w:rPr>
          <w:rFonts w:eastAsia="Times New Roman" w:cstheme="minorHAnsi"/>
          <w:color w:val="000000"/>
          <w:kern w:val="0"/>
          <w:lang w:val="en-US"/>
          <w14:ligatures w14:val="none"/>
        </w:rPr>
        <w:t>egislative and regulatory proposals</w:t>
      </w:r>
      <w:r w:rsidR="00087BD6">
        <w:rPr>
          <w:rFonts w:eastAsia="Times New Roman" w:cstheme="minorHAnsi"/>
          <w:color w:val="000000"/>
          <w:kern w:val="0"/>
          <w:lang w:val="en-US"/>
          <w14:ligatures w14:val="none"/>
        </w:rPr>
        <w:t>,</w:t>
      </w:r>
      <w:r w:rsidRPr="00D778D3">
        <w:rPr>
          <w:rFonts w:eastAsia="Times New Roman" w:cstheme="minorHAnsi"/>
          <w:color w:val="000000"/>
          <w:kern w:val="0"/>
          <w:lang w:val="en-US"/>
          <w14:ligatures w14:val="none"/>
        </w:rPr>
        <w:t> including those relating to:</w:t>
      </w:r>
    </w:p>
    <w:p w14:paraId="190B74CA" w14:textId="77777777" w:rsidR="00087BD6" w:rsidRPr="00D778D3" w:rsidRDefault="00087BD6" w:rsidP="00087BD6">
      <w:pPr>
        <w:shd w:val="clear" w:color="auto" w:fill="FFFFFF"/>
        <w:spacing w:after="0" w:line="240" w:lineRule="auto"/>
        <w:ind w:left="720"/>
        <w:textAlignment w:val="baseline"/>
        <w:rPr>
          <w:rFonts w:eastAsia="Times New Roman" w:cstheme="minorHAnsi"/>
          <w:color w:val="000000"/>
          <w:kern w:val="0"/>
          <w:lang w:val="en-US"/>
          <w14:ligatures w14:val="none"/>
        </w:rPr>
      </w:pPr>
    </w:p>
    <w:p w14:paraId="5812267E" w14:textId="6E0424A6" w:rsidR="00D778D3" w:rsidRPr="00087BD6" w:rsidRDefault="00904676" w:rsidP="005634A5">
      <w:pPr>
        <w:numPr>
          <w:ilvl w:val="1"/>
          <w:numId w:val="25"/>
        </w:numPr>
        <w:shd w:val="clear" w:color="auto" w:fill="FFFFFF"/>
        <w:spacing w:after="165" w:line="240" w:lineRule="auto"/>
        <w:textAlignment w:val="baseline"/>
        <w:rPr>
          <w:rFonts w:eastAsia="Times New Roman" w:cstheme="minorHAnsi"/>
          <w:color w:val="000000"/>
          <w:kern w:val="0"/>
          <w:lang w:val="en-US"/>
          <w14:ligatures w14:val="none"/>
        </w:rPr>
      </w:pPr>
      <w:r w:rsidRPr="00087BD6">
        <w:rPr>
          <w:rFonts w:eastAsia="Times New Roman" w:cstheme="minorHAnsi"/>
          <w:color w:val="000000"/>
          <w:kern w:val="0"/>
          <w:lang w:val="en-US"/>
          <w14:ligatures w14:val="none"/>
        </w:rPr>
        <w:t>E</w:t>
      </w:r>
      <w:r w:rsidR="00D778D3" w:rsidRPr="00D778D3">
        <w:rPr>
          <w:rFonts w:eastAsia="Times New Roman" w:cstheme="minorHAnsi"/>
          <w:color w:val="000000"/>
          <w:kern w:val="0"/>
          <w:lang w:val="en-US"/>
          <w14:ligatures w14:val="none"/>
        </w:rPr>
        <w:t>xp</w:t>
      </w:r>
      <w:r w:rsidR="00087BD6">
        <w:rPr>
          <w:rFonts w:eastAsia="Times New Roman" w:cstheme="minorHAnsi"/>
          <w:color w:val="000000"/>
          <w:kern w:val="0"/>
          <w:lang w:val="en-US"/>
          <w14:ligatures w14:val="none"/>
        </w:rPr>
        <w:t>ansion of</w:t>
      </w:r>
      <w:r w:rsidR="00D778D3" w:rsidRPr="00D778D3">
        <w:rPr>
          <w:rFonts w:eastAsia="Times New Roman" w:cstheme="minorHAnsi"/>
          <w:color w:val="000000"/>
          <w:kern w:val="0"/>
          <w:lang w:val="en-US"/>
          <w14:ligatures w14:val="none"/>
        </w:rPr>
        <w:t xml:space="preserve"> eligibility </w:t>
      </w:r>
      <w:r w:rsidR="00D778D3" w:rsidRPr="00087BD6">
        <w:rPr>
          <w:rFonts w:eastAsia="Times New Roman" w:cstheme="minorHAnsi"/>
          <w:color w:val="000000"/>
          <w:kern w:val="0"/>
          <w:lang w:val="en-US"/>
          <w14:ligatures w14:val="none"/>
        </w:rPr>
        <w:t xml:space="preserve">of </w:t>
      </w:r>
      <w:r w:rsidRPr="00087BD6">
        <w:rPr>
          <w:rFonts w:eastAsia="Times New Roman" w:cstheme="minorHAnsi"/>
          <w:color w:val="000000"/>
          <w:kern w:val="0"/>
          <w:lang w:val="en-US"/>
          <w14:ligatures w14:val="none"/>
        </w:rPr>
        <w:t xml:space="preserve">some of the </w:t>
      </w:r>
      <w:r w:rsidR="00D778D3" w:rsidRPr="00087BD6">
        <w:rPr>
          <w:rFonts w:eastAsia="Times New Roman" w:cstheme="minorHAnsi"/>
          <w:color w:val="000000"/>
          <w:kern w:val="0"/>
          <w:lang w:val="en-US"/>
          <w14:ligatures w14:val="none"/>
        </w:rPr>
        <w:t xml:space="preserve">clean economy tax credits (discussed above). </w:t>
      </w:r>
    </w:p>
    <w:p w14:paraId="2B5B67F0" w14:textId="6CE83FAE" w:rsidR="00087BD6" w:rsidRPr="00087BD6" w:rsidRDefault="00904676" w:rsidP="00087BD6">
      <w:pPr>
        <w:numPr>
          <w:ilvl w:val="1"/>
          <w:numId w:val="25"/>
        </w:numPr>
        <w:shd w:val="clear" w:color="auto" w:fill="FFFFFF"/>
        <w:spacing w:after="165" w:line="240" w:lineRule="auto"/>
        <w:textAlignment w:val="baseline"/>
        <w:rPr>
          <w:rFonts w:eastAsia="Times New Roman" w:cstheme="minorHAnsi"/>
          <w:color w:val="000000"/>
          <w:kern w:val="0"/>
          <w:lang w:val="en-US"/>
          <w14:ligatures w14:val="none"/>
        </w:rPr>
      </w:pPr>
      <w:r w:rsidRPr="00087BD6">
        <w:rPr>
          <w:rFonts w:eastAsia="Times New Roman" w:cstheme="minorHAnsi"/>
          <w:color w:val="000000"/>
          <w:kern w:val="0"/>
          <w:lang w:val="en-US"/>
          <w14:ligatures w14:val="none"/>
        </w:rPr>
        <w:t>E</w:t>
      </w:r>
      <w:r w:rsidR="00D778D3" w:rsidRPr="00D778D3">
        <w:rPr>
          <w:rFonts w:eastAsia="Times New Roman" w:cstheme="minorHAnsi"/>
          <w:color w:val="000000"/>
          <w:kern w:val="0"/>
          <w:lang w:val="en-US"/>
          <w14:ligatures w14:val="none"/>
        </w:rPr>
        <w:t>xt</w:t>
      </w:r>
      <w:r w:rsidR="00087BD6">
        <w:rPr>
          <w:rFonts w:eastAsia="Times New Roman" w:cstheme="minorHAnsi"/>
          <w:color w:val="000000"/>
          <w:kern w:val="0"/>
          <w:lang w:val="en-US"/>
          <w14:ligatures w14:val="none"/>
        </w:rPr>
        <w:t>ension</w:t>
      </w:r>
      <w:r w:rsidR="00D778D3" w:rsidRPr="00D778D3">
        <w:rPr>
          <w:rFonts w:eastAsia="Times New Roman" w:cstheme="minorHAnsi"/>
          <w:color w:val="000000"/>
          <w:kern w:val="0"/>
          <w:lang w:val="en-US"/>
          <w14:ligatures w14:val="none"/>
        </w:rPr>
        <w:t xml:space="preserve"> </w:t>
      </w:r>
      <w:r w:rsidR="00D778D3" w:rsidRPr="00087BD6">
        <w:rPr>
          <w:rFonts w:eastAsia="Times New Roman" w:cstheme="minorHAnsi"/>
          <w:color w:val="000000"/>
          <w:kern w:val="0"/>
          <w:lang w:val="en-US"/>
          <w14:ligatures w14:val="none"/>
        </w:rPr>
        <w:t xml:space="preserve">of </w:t>
      </w:r>
      <w:r w:rsidR="00D778D3" w:rsidRPr="00D778D3">
        <w:rPr>
          <w:rFonts w:eastAsia="Times New Roman" w:cstheme="minorHAnsi"/>
          <w:color w:val="000000"/>
          <w:kern w:val="0"/>
          <w:lang w:val="en-US"/>
          <w14:ligatures w14:val="none"/>
        </w:rPr>
        <w:t xml:space="preserve">the Accelerated Investment Incentive and immediate </w:t>
      </w:r>
      <w:proofErr w:type="gramStart"/>
      <w:r w:rsidR="00D778D3" w:rsidRPr="00D778D3">
        <w:rPr>
          <w:rFonts w:eastAsia="Times New Roman" w:cstheme="minorHAnsi"/>
          <w:color w:val="000000"/>
          <w:kern w:val="0"/>
          <w:lang w:val="en-US"/>
          <w14:ligatures w14:val="none"/>
        </w:rPr>
        <w:t>expensing</w:t>
      </w:r>
      <w:proofErr w:type="gramEnd"/>
      <w:r w:rsidR="00D778D3" w:rsidRPr="00D778D3">
        <w:rPr>
          <w:rFonts w:eastAsia="Times New Roman" w:cstheme="minorHAnsi"/>
          <w:color w:val="000000"/>
          <w:kern w:val="0"/>
          <w:lang w:val="en-US"/>
          <w14:ligatures w14:val="none"/>
        </w:rPr>
        <w:t xml:space="preserve"> measures</w:t>
      </w:r>
      <w:r w:rsidR="00D778D3" w:rsidRPr="00087BD6">
        <w:rPr>
          <w:rFonts w:eastAsia="Times New Roman" w:cstheme="minorHAnsi"/>
          <w:color w:val="000000"/>
          <w:kern w:val="0"/>
          <w:lang w:val="en-US"/>
          <w14:ligatures w14:val="none"/>
        </w:rPr>
        <w:t>.</w:t>
      </w:r>
    </w:p>
    <w:p w14:paraId="11F826E6" w14:textId="1BBD1310" w:rsidR="00D778D3" w:rsidRPr="00D778D3" w:rsidRDefault="00D778D3" w:rsidP="00D778D3">
      <w:pPr>
        <w:numPr>
          <w:ilvl w:val="0"/>
          <w:numId w:val="25"/>
        </w:numPr>
        <w:shd w:val="clear" w:color="auto" w:fill="FFFFFF"/>
        <w:spacing w:after="375" w:line="240" w:lineRule="auto"/>
        <w:textAlignment w:val="baseline"/>
        <w:rPr>
          <w:rFonts w:eastAsia="Times New Roman" w:cstheme="minorHAnsi"/>
          <w:color w:val="000000"/>
          <w:kern w:val="0"/>
          <w:lang w:val="en-US"/>
          <w14:ligatures w14:val="none"/>
        </w:rPr>
      </w:pPr>
      <w:r w:rsidRPr="00D778D3">
        <w:rPr>
          <w:rFonts w:eastAsia="Times New Roman" w:cstheme="minorHAnsi"/>
          <w:color w:val="000000"/>
          <w:kern w:val="0"/>
          <w:lang w:val="en-US"/>
          <w14:ligatures w14:val="none"/>
        </w:rPr>
        <w:t>August 12, 2024</w:t>
      </w:r>
      <w:r w:rsidR="00087BD6">
        <w:rPr>
          <w:rFonts w:eastAsia="Times New Roman" w:cstheme="minorHAnsi"/>
          <w:color w:val="000000"/>
          <w:kern w:val="0"/>
          <w:lang w:val="en-US"/>
          <w14:ligatures w14:val="none"/>
        </w:rPr>
        <w:t>,</w:t>
      </w:r>
      <w:r w:rsidRPr="00087BD6">
        <w:rPr>
          <w:rFonts w:eastAsia="Times New Roman" w:cstheme="minorHAnsi"/>
          <w:color w:val="000000"/>
          <w:kern w:val="0"/>
          <w:lang w:val="en-US"/>
          <w14:ligatures w14:val="none"/>
        </w:rPr>
        <w:t xml:space="preserve"> L</w:t>
      </w:r>
      <w:r w:rsidRPr="00D778D3">
        <w:rPr>
          <w:rFonts w:eastAsia="Times New Roman" w:cstheme="minorHAnsi"/>
          <w:color w:val="000000"/>
          <w:kern w:val="0"/>
          <w:lang w:val="en-US"/>
          <w14:ligatures w14:val="none"/>
        </w:rPr>
        <w:t>egislative and regulatory proposals</w:t>
      </w:r>
      <w:r w:rsidRPr="00087BD6">
        <w:rPr>
          <w:rFonts w:eastAsia="Times New Roman" w:cstheme="minorHAnsi"/>
          <w:color w:val="000000"/>
          <w:kern w:val="0"/>
          <w:lang w:val="en-US"/>
          <w14:ligatures w14:val="none"/>
        </w:rPr>
        <w:t>,</w:t>
      </w:r>
      <w:r w:rsidRPr="00D778D3">
        <w:rPr>
          <w:rFonts w:eastAsia="Times New Roman" w:cstheme="minorHAnsi"/>
          <w:color w:val="000000"/>
          <w:kern w:val="0"/>
          <w:lang w:val="en-US"/>
          <w14:ligatures w14:val="none"/>
        </w:rPr>
        <w:t xml:space="preserve"> including</w:t>
      </w:r>
      <w:r w:rsidRPr="00087BD6">
        <w:rPr>
          <w:rFonts w:eastAsia="Times New Roman" w:cstheme="minorHAnsi"/>
          <w:color w:val="000000"/>
          <w:kern w:val="0"/>
          <w:lang w:val="en-US"/>
          <w14:ligatures w14:val="none"/>
        </w:rPr>
        <w:t xml:space="preserve"> (among others)</w:t>
      </w:r>
      <w:r w:rsidRPr="00D778D3">
        <w:rPr>
          <w:rFonts w:eastAsia="Times New Roman" w:cstheme="minorHAnsi"/>
          <w:color w:val="000000"/>
          <w:kern w:val="0"/>
          <w:lang w:val="en-US"/>
          <w14:ligatures w14:val="none"/>
        </w:rPr>
        <w:t>:</w:t>
      </w:r>
    </w:p>
    <w:p w14:paraId="11309DE7" w14:textId="2271D6FB" w:rsidR="00904676" w:rsidRPr="00087BD6" w:rsidRDefault="00087BD6" w:rsidP="003A0E93">
      <w:pPr>
        <w:numPr>
          <w:ilvl w:val="1"/>
          <w:numId w:val="25"/>
        </w:numPr>
        <w:shd w:val="clear" w:color="auto" w:fill="FFFFFF"/>
        <w:spacing w:after="165" w:line="240" w:lineRule="auto"/>
        <w:textAlignment w:val="baseline"/>
        <w:rPr>
          <w:rFonts w:eastAsia="Times New Roman" w:cstheme="minorHAnsi"/>
          <w:color w:val="000000"/>
          <w:kern w:val="0"/>
          <w:lang w:val="en-US"/>
          <w14:ligatures w14:val="none"/>
        </w:rPr>
      </w:pPr>
      <w:r>
        <w:rPr>
          <w:rFonts w:eastAsia="Times New Roman" w:cstheme="minorHAnsi"/>
          <w:color w:val="000000"/>
          <w:kern w:val="0"/>
          <w:lang w:val="en-US"/>
          <w14:ligatures w14:val="none"/>
        </w:rPr>
        <w:t>A</w:t>
      </w:r>
      <w:r w:rsidR="00D778D3" w:rsidRPr="00D778D3">
        <w:rPr>
          <w:rFonts w:eastAsia="Times New Roman" w:cstheme="minorHAnsi"/>
          <w:color w:val="000000"/>
          <w:kern w:val="0"/>
          <w:lang w:val="en-US"/>
          <w14:ligatures w14:val="none"/>
        </w:rPr>
        <w:t>lternative minimum tax (other than changes related to resource expense deductions)</w:t>
      </w:r>
      <w:r>
        <w:rPr>
          <w:rFonts w:eastAsia="Times New Roman" w:cstheme="minorHAnsi"/>
          <w:color w:val="000000"/>
          <w:kern w:val="0"/>
          <w:lang w:val="en-US"/>
          <w14:ligatures w14:val="none"/>
        </w:rPr>
        <w:t>.</w:t>
      </w:r>
    </w:p>
    <w:p w14:paraId="7A3748E9" w14:textId="38B14CC5" w:rsidR="00904676" w:rsidRPr="00087BD6" w:rsidRDefault="00087BD6" w:rsidP="00B336A9">
      <w:pPr>
        <w:numPr>
          <w:ilvl w:val="1"/>
          <w:numId w:val="25"/>
        </w:numPr>
        <w:shd w:val="clear" w:color="auto" w:fill="FFFFFF"/>
        <w:spacing w:after="165" w:line="240" w:lineRule="auto"/>
        <w:textAlignment w:val="baseline"/>
        <w:rPr>
          <w:rFonts w:eastAsia="Times New Roman" w:cstheme="minorHAnsi"/>
          <w:color w:val="000000"/>
          <w:kern w:val="0"/>
          <w:lang w:val="en-US"/>
          <w14:ligatures w14:val="none"/>
        </w:rPr>
      </w:pPr>
      <w:r>
        <w:rPr>
          <w:rFonts w:eastAsia="Times New Roman" w:cstheme="minorHAnsi"/>
          <w:color w:val="000000"/>
          <w:kern w:val="0"/>
          <w:lang w:val="en-US"/>
          <w14:ligatures w14:val="none"/>
        </w:rPr>
        <w:lastRenderedPageBreak/>
        <w:t>A</w:t>
      </w:r>
      <w:r w:rsidR="00D778D3" w:rsidRPr="00D778D3">
        <w:rPr>
          <w:rFonts w:eastAsia="Times New Roman" w:cstheme="minorHAnsi"/>
          <w:color w:val="000000"/>
          <w:kern w:val="0"/>
          <w:lang w:val="en-US"/>
          <w14:ligatures w14:val="none"/>
        </w:rPr>
        <w:t>ccelerated CCA for productivity-enhancing assets, and for purpose-built rental housing</w:t>
      </w:r>
      <w:r>
        <w:rPr>
          <w:rFonts w:eastAsia="Times New Roman" w:cstheme="minorHAnsi"/>
          <w:color w:val="000000"/>
          <w:kern w:val="0"/>
          <w:lang w:val="en-US"/>
          <w14:ligatures w14:val="none"/>
        </w:rPr>
        <w:t>.</w:t>
      </w:r>
    </w:p>
    <w:p w14:paraId="47E1E7F6" w14:textId="52CA7839" w:rsidR="00D778D3" w:rsidRPr="00D778D3" w:rsidRDefault="00087BD6" w:rsidP="00B336A9">
      <w:pPr>
        <w:numPr>
          <w:ilvl w:val="1"/>
          <w:numId w:val="25"/>
        </w:numPr>
        <w:shd w:val="clear" w:color="auto" w:fill="FFFFFF"/>
        <w:spacing w:after="165" w:line="240" w:lineRule="auto"/>
        <w:textAlignment w:val="baseline"/>
        <w:rPr>
          <w:rFonts w:eastAsia="Times New Roman" w:cstheme="minorHAnsi"/>
          <w:color w:val="000000"/>
          <w:kern w:val="0"/>
          <w:lang w:val="en-US"/>
          <w14:ligatures w14:val="none"/>
        </w:rPr>
      </w:pPr>
      <w:r>
        <w:rPr>
          <w:rFonts w:eastAsia="Times New Roman" w:cstheme="minorHAnsi"/>
          <w:color w:val="000000"/>
          <w:kern w:val="0"/>
          <w:lang w:val="en-US"/>
          <w14:ligatures w14:val="none"/>
        </w:rPr>
        <w:t>W</w:t>
      </w:r>
      <w:r w:rsidR="00D778D3" w:rsidRPr="00D778D3">
        <w:rPr>
          <w:rFonts w:eastAsia="Times New Roman" w:cstheme="minorHAnsi"/>
          <w:color w:val="000000"/>
          <w:kern w:val="0"/>
          <w:lang w:val="en-US"/>
          <w14:ligatures w14:val="none"/>
        </w:rPr>
        <w:t>ithholding for non-resident service providers</w:t>
      </w:r>
      <w:r>
        <w:rPr>
          <w:rFonts w:eastAsia="Times New Roman" w:cstheme="minorHAnsi"/>
          <w:color w:val="000000"/>
          <w:kern w:val="0"/>
          <w:lang w:val="en-US"/>
          <w14:ligatures w14:val="none"/>
        </w:rPr>
        <w:t>.</w:t>
      </w:r>
    </w:p>
    <w:p w14:paraId="408CA74D" w14:textId="633C73C2" w:rsidR="00D778D3" w:rsidRPr="00D778D3" w:rsidRDefault="00087BD6" w:rsidP="00D778D3">
      <w:pPr>
        <w:numPr>
          <w:ilvl w:val="1"/>
          <w:numId w:val="25"/>
        </w:numPr>
        <w:shd w:val="clear" w:color="auto" w:fill="FFFFFF"/>
        <w:spacing w:after="165" w:line="240" w:lineRule="auto"/>
        <w:textAlignment w:val="baseline"/>
        <w:rPr>
          <w:rFonts w:eastAsia="Times New Roman" w:cstheme="minorHAnsi"/>
          <w:color w:val="000000"/>
          <w:kern w:val="0"/>
          <w:lang w:val="en-US"/>
          <w14:ligatures w14:val="none"/>
        </w:rPr>
      </w:pPr>
      <w:r>
        <w:rPr>
          <w:rFonts w:eastAsia="Times New Roman" w:cstheme="minorHAnsi"/>
          <w:color w:val="000000"/>
          <w:kern w:val="0"/>
          <w:lang w:val="en-US"/>
          <w14:ligatures w14:val="none"/>
        </w:rPr>
        <w:t>R</w:t>
      </w:r>
      <w:r w:rsidR="00D778D3" w:rsidRPr="00D778D3">
        <w:rPr>
          <w:rFonts w:eastAsia="Times New Roman" w:cstheme="minorHAnsi"/>
          <w:color w:val="000000"/>
          <w:kern w:val="0"/>
          <w:lang w:val="en-US"/>
          <w14:ligatures w14:val="none"/>
        </w:rPr>
        <w:t>egulations related to the application of the Enhanced (100%) GST Rental Rebate to cooperative housing corporations</w:t>
      </w:r>
      <w:r>
        <w:rPr>
          <w:rFonts w:eastAsia="Times New Roman" w:cstheme="minorHAnsi"/>
          <w:color w:val="000000"/>
          <w:kern w:val="0"/>
          <w:lang w:val="en-US"/>
          <w14:ligatures w14:val="none"/>
        </w:rPr>
        <w:t>.</w:t>
      </w:r>
    </w:p>
    <w:p w14:paraId="4B068D64" w14:textId="77777777" w:rsidR="00904676" w:rsidRPr="00087BD6" w:rsidRDefault="00904676" w:rsidP="00D778D3">
      <w:pPr>
        <w:numPr>
          <w:ilvl w:val="1"/>
          <w:numId w:val="25"/>
        </w:numPr>
        <w:shd w:val="clear" w:color="auto" w:fill="FFFFFF"/>
        <w:spacing w:after="0" w:line="240" w:lineRule="auto"/>
        <w:textAlignment w:val="baseline"/>
        <w:rPr>
          <w:rFonts w:eastAsia="Times New Roman" w:cstheme="minorHAnsi"/>
          <w:color w:val="000000"/>
          <w:kern w:val="0"/>
          <w:lang w:val="en-US"/>
          <w14:ligatures w14:val="none"/>
        </w:rPr>
      </w:pPr>
      <w:r w:rsidRPr="00087BD6">
        <w:rPr>
          <w:rFonts w:eastAsia="Times New Roman" w:cstheme="minorHAnsi"/>
          <w:color w:val="000000"/>
          <w:kern w:val="0"/>
          <w:lang w:val="en-US"/>
          <w14:ligatures w14:val="none"/>
        </w:rPr>
        <w:t>E</w:t>
      </w:r>
      <w:r w:rsidRPr="00D778D3">
        <w:rPr>
          <w:rFonts w:eastAsia="Times New Roman" w:cstheme="minorHAnsi"/>
          <w:color w:val="000000"/>
          <w:kern w:val="0"/>
          <w:lang w:val="en-US"/>
          <w14:ligatures w14:val="none"/>
        </w:rPr>
        <w:t xml:space="preserve">xpanding eligibility </w:t>
      </w:r>
      <w:r w:rsidRPr="00087BD6">
        <w:rPr>
          <w:rFonts w:eastAsia="Times New Roman" w:cstheme="minorHAnsi"/>
          <w:color w:val="000000"/>
          <w:kern w:val="0"/>
          <w:lang w:val="en-US"/>
          <w14:ligatures w14:val="none"/>
        </w:rPr>
        <w:t>of some of the clean economy tax credits (discussed above).</w:t>
      </w:r>
    </w:p>
    <w:p w14:paraId="774AFBD3" w14:textId="77777777" w:rsidR="00904676" w:rsidRPr="00087BD6" w:rsidRDefault="00904676" w:rsidP="00904676">
      <w:pPr>
        <w:shd w:val="clear" w:color="auto" w:fill="FFFFFF"/>
        <w:spacing w:after="0" w:line="240" w:lineRule="auto"/>
        <w:ind w:left="1440"/>
        <w:textAlignment w:val="baseline"/>
        <w:rPr>
          <w:rFonts w:eastAsia="Times New Roman" w:cstheme="minorHAnsi"/>
          <w:color w:val="000000"/>
          <w:kern w:val="0"/>
          <w:lang w:val="en-US"/>
          <w14:ligatures w14:val="none"/>
        </w:rPr>
      </w:pPr>
    </w:p>
    <w:p w14:paraId="059A1C81" w14:textId="2A83CBF1" w:rsidR="00D778D3" w:rsidRPr="00D778D3" w:rsidRDefault="00904676" w:rsidP="00D778D3">
      <w:pPr>
        <w:numPr>
          <w:ilvl w:val="1"/>
          <w:numId w:val="25"/>
        </w:numPr>
        <w:shd w:val="clear" w:color="auto" w:fill="FFFFFF"/>
        <w:spacing w:after="0" w:line="240" w:lineRule="auto"/>
        <w:textAlignment w:val="baseline"/>
        <w:rPr>
          <w:rFonts w:eastAsia="Times New Roman" w:cstheme="minorHAnsi"/>
          <w:color w:val="000000"/>
          <w:kern w:val="0"/>
          <w:lang w:val="en-US"/>
          <w14:ligatures w14:val="none"/>
        </w:rPr>
      </w:pPr>
      <w:r w:rsidRPr="00087BD6">
        <w:rPr>
          <w:rFonts w:eastAsia="Times New Roman" w:cstheme="minorHAnsi"/>
          <w:color w:val="000000"/>
          <w:kern w:val="0"/>
          <w:lang w:val="en-US"/>
          <w14:ligatures w14:val="none"/>
        </w:rPr>
        <w:t>A</w:t>
      </w:r>
      <w:r w:rsidR="00D778D3" w:rsidRPr="00D778D3">
        <w:rPr>
          <w:rFonts w:eastAsia="Times New Roman" w:cstheme="minorHAnsi"/>
          <w:color w:val="000000"/>
          <w:kern w:val="0"/>
          <w:lang w:val="en-US"/>
          <w14:ligatures w14:val="none"/>
        </w:rPr>
        <w:t>mendments to the </w:t>
      </w:r>
      <w:r w:rsidR="00D778D3" w:rsidRPr="00D778D3">
        <w:rPr>
          <w:rFonts w:eastAsia="Times New Roman" w:cstheme="minorHAnsi"/>
          <w:i/>
          <w:iCs/>
          <w:color w:val="000000"/>
          <w:kern w:val="0"/>
          <w:bdr w:val="none" w:sz="0" w:space="0" w:color="auto" w:frame="1"/>
          <w:lang w:val="en-US"/>
          <w14:ligatures w14:val="none"/>
        </w:rPr>
        <w:t>Global Minimum Tax Act</w:t>
      </w:r>
      <w:r w:rsidR="00D778D3" w:rsidRPr="00D778D3">
        <w:rPr>
          <w:rFonts w:eastAsia="Times New Roman" w:cstheme="minorHAnsi"/>
          <w:color w:val="000000"/>
          <w:kern w:val="0"/>
          <w:lang w:val="en-US"/>
          <w14:ligatures w14:val="none"/>
        </w:rPr>
        <w:t> and the </w:t>
      </w:r>
      <w:r w:rsidR="00D778D3" w:rsidRPr="00D778D3">
        <w:rPr>
          <w:rFonts w:eastAsia="Times New Roman" w:cstheme="minorHAnsi"/>
          <w:i/>
          <w:iCs/>
          <w:color w:val="000000"/>
          <w:kern w:val="0"/>
          <w:bdr w:val="none" w:sz="0" w:space="0" w:color="auto" w:frame="1"/>
          <w:lang w:val="en-US"/>
          <w14:ligatures w14:val="none"/>
        </w:rPr>
        <w:t>Income Tax Conventions Interpretation Ac</w:t>
      </w:r>
      <w:r w:rsidRPr="00087BD6">
        <w:rPr>
          <w:rFonts w:eastAsia="Times New Roman" w:cstheme="minorHAnsi"/>
          <w:i/>
          <w:iCs/>
          <w:color w:val="000000"/>
          <w:kern w:val="0"/>
          <w:bdr w:val="none" w:sz="0" w:space="0" w:color="auto" w:frame="1"/>
          <w:lang w:val="en-US"/>
          <w14:ligatures w14:val="none"/>
        </w:rPr>
        <w:t>t</w:t>
      </w:r>
      <w:r w:rsidR="00087BD6">
        <w:rPr>
          <w:rFonts w:eastAsia="Times New Roman" w:cstheme="minorHAnsi"/>
          <w:i/>
          <w:iCs/>
          <w:color w:val="000000"/>
          <w:kern w:val="0"/>
          <w:bdr w:val="none" w:sz="0" w:space="0" w:color="auto" w:frame="1"/>
          <w:lang w:val="en-US"/>
          <w14:ligatures w14:val="none"/>
        </w:rPr>
        <w:t>.</w:t>
      </w:r>
    </w:p>
    <w:p w14:paraId="4ED218EE" w14:textId="77777777" w:rsidR="0012777A" w:rsidRPr="0012777A" w:rsidRDefault="0012777A" w:rsidP="0012777A">
      <w:pPr>
        <w:shd w:val="clear" w:color="auto" w:fill="FFFFFF"/>
        <w:spacing w:after="375" w:line="240" w:lineRule="auto"/>
        <w:ind w:left="720"/>
        <w:textAlignment w:val="baseline"/>
        <w:rPr>
          <w:rFonts w:ascii="Arial" w:eastAsia="Times New Roman" w:hAnsi="Arial" w:cs="Arial"/>
          <w:color w:val="000000"/>
          <w:kern w:val="0"/>
          <w:lang w:val="en-US"/>
          <w14:ligatures w14:val="none"/>
        </w:rPr>
      </w:pPr>
    </w:p>
    <w:p w14:paraId="044423EF" w14:textId="23B9EBB0" w:rsidR="00D778D3" w:rsidRPr="00D778D3" w:rsidRDefault="00904676" w:rsidP="00D778D3">
      <w:pPr>
        <w:numPr>
          <w:ilvl w:val="0"/>
          <w:numId w:val="25"/>
        </w:numPr>
        <w:shd w:val="clear" w:color="auto" w:fill="FFFFFF"/>
        <w:spacing w:after="375" w:line="240" w:lineRule="auto"/>
        <w:textAlignment w:val="baseline"/>
        <w:rPr>
          <w:rFonts w:ascii="Arial" w:eastAsia="Times New Roman" w:hAnsi="Arial" w:cs="Arial"/>
          <w:color w:val="000000"/>
          <w:kern w:val="0"/>
          <w:lang w:val="en-US"/>
          <w14:ligatures w14:val="none"/>
        </w:rPr>
      </w:pPr>
      <w:r w:rsidRPr="00D778D3">
        <w:rPr>
          <w:rFonts w:eastAsia="Times New Roman" w:cstheme="minorHAnsi"/>
          <w:color w:val="000000"/>
          <w:kern w:val="0"/>
          <w:lang w:val="en-US"/>
          <w14:ligatures w14:val="none"/>
        </w:rPr>
        <w:t>2024 budget</w:t>
      </w:r>
      <w:r w:rsidRPr="00087BD6">
        <w:rPr>
          <w:rFonts w:eastAsia="Times New Roman" w:cstheme="minorHAnsi"/>
          <w:color w:val="000000"/>
          <w:kern w:val="0"/>
          <w:lang w:val="en-US"/>
          <w14:ligatures w14:val="none"/>
        </w:rPr>
        <w:t>: T</w:t>
      </w:r>
      <w:r w:rsidR="00D778D3" w:rsidRPr="00D778D3">
        <w:rPr>
          <w:rFonts w:eastAsia="Times New Roman" w:cstheme="minorHAnsi"/>
          <w:color w:val="000000"/>
          <w:kern w:val="0"/>
          <w:lang w:val="en-US"/>
          <w14:ligatures w14:val="none"/>
        </w:rPr>
        <w:t>he proposed increase in the lifetime capital gains exemption to apply to up to $1.25 million of eligible capital gains</w:t>
      </w:r>
      <w:r w:rsidR="00971771">
        <w:rPr>
          <w:rFonts w:eastAsia="Times New Roman" w:cstheme="minorHAnsi"/>
          <w:color w:val="000000"/>
          <w:kern w:val="0"/>
          <w:lang w:val="en-US"/>
          <w14:ligatures w14:val="none"/>
        </w:rPr>
        <w:t>.</w:t>
      </w:r>
      <w:r w:rsidR="00D778D3" w:rsidRPr="00D778D3">
        <w:rPr>
          <w:rFonts w:ascii="Arial" w:eastAsia="Times New Roman" w:hAnsi="Arial" w:cs="Arial"/>
          <w:color w:val="000000"/>
          <w:kern w:val="0"/>
          <w:lang w:val="en-US"/>
          <w14:ligatures w14:val="none"/>
        </w:rPr>
        <w:t xml:space="preserve"> </w:t>
      </w:r>
    </w:p>
    <w:p w14:paraId="45233B9A" w14:textId="6EA7BAF5" w:rsidR="00D778D3" w:rsidRPr="00D778D3" w:rsidRDefault="00904676" w:rsidP="00D778D3">
      <w:pPr>
        <w:numPr>
          <w:ilvl w:val="0"/>
          <w:numId w:val="24"/>
        </w:numPr>
        <w:shd w:val="clear" w:color="auto" w:fill="FFFFFF"/>
        <w:spacing w:after="375" w:line="240" w:lineRule="auto"/>
        <w:textAlignment w:val="baseline"/>
        <w:rPr>
          <w:rFonts w:eastAsia="Times New Roman" w:cstheme="minorHAnsi"/>
          <w:color w:val="000000"/>
          <w:kern w:val="0"/>
          <w:lang w:val="en-US"/>
          <w14:ligatures w14:val="none"/>
        </w:rPr>
      </w:pPr>
      <w:r w:rsidRPr="00D778D3">
        <w:rPr>
          <w:rFonts w:eastAsia="Times New Roman" w:cstheme="minorHAnsi"/>
          <w:color w:val="000000"/>
          <w:kern w:val="0"/>
          <w:lang w:val="en-US"/>
          <w14:ligatures w14:val="none"/>
        </w:rPr>
        <w:t>2021 budget</w:t>
      </w:r>
      <w:r w:rsidRPr="0012777A">
        <w:rPr>
          <w:rFonts w:eastAsia="Times New Roman" w:cstheme="minorHAnsi"/>
          <w:color w:val="000000"/>
          <w:kern w:val="0"/>
          <w:lang w:val="en-US"/>
          <w14:ligatures w14:val="none"/>
        </w:rPr>
        <w:t>: L</w:t>
      </w:r>
      <w:r w:rsidR="00D778D3" w:rsidRPr="00D778D3">
        <w:rPr>
          <w:rFonts w:eastAsia="Times New Roman" w:cstheme="minorHAnsi"/>
          <w:color w:val="000000"/>
          <w:kern w:val="0"/>
          <w:lang w:val="en-US"/>
          <w14:ligatures w14:val="none"/>
        </w:rPr>
        <w:t>egislative amendments to implement the hybrid mismatch arrangements rules</w:t>
      </w:r>
      <w:r w:rsidR="000A544B">
        <w:rPr>
          <w:rFonts w:eastAsia="Times New Roman" w:cstheme="minorHAnsi"/>
          <w:color w:val="000000"/>
          <w:kern w:val="0"/>
          <w:lang w:val="en-US"/>
          <w14:ligatures w14:val="none"/>
        </w:rPr>
        <w:t>.</w:t>
      </w:r>
      <w:r w:rsidR="00D778D3" w:rsidRPr="00D778D3">
        <w:rPr>
          <w:rFonts w:eastAsia="Times New Roman" w:cstheme="minorHAnsi"/>
          <w:color w:val="000000"/>
          <w:kern w:val="0"/>
          <w:lang w:val="en-US"/>
          <w14:ligatures w14:val="none"/>
        </w:rPr>
        <w:t xml:space="preserve"> </w:t>
      </w:r>
    </w:p>
    <w:p w14:paraId="5FAF0C47" w14:textId="0E65ACE0" w:rsidR="00087BD6" w:rsidRPr="00C21C6C" w:rsidRDefault="00C21C6C" w:rsidP="00C21C6C">
      <w:pPr>
        <w:jc w:val="both"/>
        <w:rPr>
          <w:b/>
          <w:bCs/>
          <w:color w:val="C00000"/>
          <w:lang w:val="en-US"/>
        </w:rPr>
      </w:pPr>
      <w:r>
        <w:rPr>
          <w:b/>
          <w:bCs/>
          <w:color w:val="C00000"/>
          <w:lang w:val="en-US"/>
        </w:rPr>
        <w:t>CONTACT OUR TEAM OF EXPERTS</w:t>
      </w:r>
    </w:p>
    <w:p w14:paraId="5275394A" w14:textId="7EA453F7" w:rsidR="00595929" w:rsidRDefault="00087BD6" w:rsidP="00087BD6">
      <w:pPr>
        <w:jc w:val="both"/>
        <w:rPr>
          <w:lang w:val="en-US"/>
        </w:rPr>
      </w:pPr>
      <w:r w:rsidRPr="0020250D">
        <w:rPr>
          <w:lang w:val="en-US"/>
        </w:rPr>
        <w:t>For further information</w:t>
      </w:r>
      <w:r>
        <w:rPr>
          <w:lang w:val="en-US"/>
        </w:rPr>
        <w:t xml:space="preserve"> on the above</w:t>
      </w:r>
      <w:r w:rsidRPr="0020250D">
        <w:rPr>
          <w:lang w:val="en-US"/>
        </w:rPr>
        <w:t xml:space="preserve">, </w:t>
      </w:r>
      <w:r>
        <w:rPr>
          <w:lang w:val="en-US"/>
        </w:rPr>
        <w:t xml:space="preserve">we invite you to </w:t>
      </w:r>
      <w:r w:rsidRPr="00087BD6">
        <w:rPr>
          <w:lang w:val="en-US"/>
        </w:rPr>
        <w:t xml:space="preserve">please reach out to Danny Guérin of Andersen Inc.  </w:t>
      </w:r>
      <w:bookmarkEnd w:id="1"/>
    </w:p>
    <w:p w14:paraId="00FFB948" w14:textId="77777777" w:rsidR="006E4CC5" w:rsidRDefault="006E4CC5" w:rsidP="00087BD6">
      <w:pPr>
        <w:jc w:val="both"/>
        <w:rPr>
          <w:lang w:val="en-US"/>
        </w:rPr>
      </w:pPr>
    </w:p>
    <w:tbl>
      <w:tblPr>
        <w:tblStyle w:val="Grilledutableau"/>
        <w:tblW w:w="0" w:type="auto"/>
        <w:jc w:val="center"/>
        <w:tblLook w:val="04A0" w:firstRow="1" w:lastRow="0" w:firstColumn="1" w:lastColumn="0" w:noHBand="0" w:noVBand="1"/>
      </w:tblPr>
      <w:tblGrid>
        <w:gridCol w:w="1776"/>
        <w:gridCol w:w="4253"/>
      </w:tblGrid>
      <w:tr w:rsidR="006E4CC5" w14:paraId="383EE02A" w14:textId="77777777" w:rsidTr="006E4CC5">
        <w:trPr>
          <w:jc w:val="center"/>
        </w:trPr>
        <w:tc>
          <w:tcPr>
            <w:tcW w:w="1696" w:type="dxa"/>
          </w:tcPr>
          <w:p w14:paraId="03635B16" w14:textId="7BC0421C" w:rsidR="006E4CC5" w:rsidRDefault="006E4CC5" w:rsidP="006E4CC5">
            <w:pPr>
              <w:jc w:val="center"/>
              <w:rPr>
                <w:lang w:val="en-US"/>
              </w:rPr>
            </w:pPr>
            <w:r>
              <w:rPr>
                <w:noProof/>
              </w:rPr>
              <w:drawing>
                <wp:inline distT="0" distB="0" distL="0" distR="0" wp14:anchorId="30EEED19" wp14:editId="301AEA5A">
                  <wp:extent cx="988828" cy="988828"/>
                  <wp:effectExtent l="0" t="0" r="1905" b="1905"/>
                  <wp:docPr id="20729207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885" cy="1012885"/>
                          </a:xfrm>
                          <a:prstGeom prst="rect">
                            <a:avLst/>
                          </a:prstGeom>
                          <a:noFill/>
                          <a:ln>
                            <a:noFill/>
                          </a:ln>
                        </pic:spPr>
                      </pic:pic>
                    </a:graphicData>
                  </a:graphic>
                </wp:inline>
              </w:drawing>
            </w:r>
          </w:p>
        </w:tc>
        <w:tc>
          <w:tcPr>
            <w:tcW w:w="4253" w:type="dxa"/>
            <w:vAlign w:val="center"/>
          </w:tcPr>
          <w:p w14:paraId="4AF0EE86" w14:textId="065E1A93" w:rsidR="006E4CC5" w:rsidRPr="00431468" w:rsidRDefault="006E4CC5" w:rsidP="006E4CC5">
            <w:pPr>
              <w:jc w:val="center"/>
              <w:rPr>
                <w:rFonts w:ascii="Arial" w:hAnsi="Arial" w:cs="Arial"/>
                <w:b/>
                <w:bCs/>
                <w:lang w:val="en-CA"/>
              </w:rPr>
            </w:pPr>
            <w:hyperlink r:id="rId9" w:history="1">
              <w:r w:rsidRPr="006E4CC5">
                <w:rPr>
                  <w:rStyle w:val="Lienhypertexte"/>
                  <w:rFonts w:ascii="Arial" w:hAnsi="Arial" w:cs="Arial"/>
                  <w:lang w:val="en-CA"/>
                </w:rPr>
                <w:t>Danny Guérin</w:t>
              </w:r>
            </w:hyperlink>
            <w:r w:rsidRPr="00431468">
              <w:rPr>
                <w:rFonts w:ascii="Arial" w:hAnsi="Arial" w:cs="Arial"/>
                <w:lang w:val="en-CA"/>
              </w:rPr>
              <w:t xml:space="preserve">, </w:t>
            </w:r>
            <w:r w:rsidRPr="00431468">
              <w:rPr>
                <w:rFonts w:ascii="Arial" w:hAnsi="Arial" w:cs="Arial"/>
                <w:b/>
                <w:bCs/>
                <w:color w:val="C00000"/>
                <w:lang w:val="en-CA"/>
              </w:rPr>
              <w:t xml:space="preserve">CPA, </w:t>
            </w:r>
            <w:proofErr w:type="spellStart"/>
            <w:r w:rsidRPr="00431468">
              <w:rPr>
                <w:rFonts w:ascii="Arial" w:hAnsi="Arial" w:cs="Arial"/>
                <w:b/>
                <w:bCs/>
                <w:color w:val="C00000"/>
                <w:lang w:val="en-CA"/>
              </w:rPr>
              <w:t>L.L.</w:t>
            </w:r>
            <w:proofErr w:type="gramStart"/>
            <w:r w:rsidRPr="00431468">
              <w:rPr>
                <w:rFonts w:ascii="Arial" w:hAnsi="Arial" w:cs="Arial"/>
                <w:b/>
                <w:bCs/>
                <w:color w:val="C00000"/>
                <w:lang w:val="en-CA"/>
              </w:rPr>
              <w:t>M.Fisc</w:t>
            </w:r>
            <w:proofErr w:type="spellEnd"/>
            <w:proofErr w:type="gramEnd"/>
            <w:r w:rsidRPr="00431468">
              <w:rPr>
                <w:rFonts w:ascii="Arial" w:hAnsi="Arial" w:cs="Arial"/>
                <w:b/>
                <w:bCs/>
                <w:color w:val="C00000"/>
                <w:lang w:val="en-CA"/>
              </w:rPr>
              <w:t>.</w:t>
            </w:r>
          </w:p>
          <w:p w14:paraId="15AA1045" w14:textId="17FB5516" w:rsidR="006E4CC5" w:rsidRDefault="006E4CC5" w:rsidP="006E4CC5">
            <w:pPr>
              <w:jc w:val="center"/>
              <w:rPr>
                <w:lang w:val="en-US"/>
              </w:rPr>
            </w:pPr>
            <w:r w:rsidRPr="00431468">
              <w:rPr>
                <w:rFonts w:ascii="Arial" w:hAnsi="Arial" w:cs="Arial"/>
                <w:lang w:val="en-CA"/>
              </w:rPr>
              <w:t>Partner, Andersen Montreal</w:t>
            </w:r>
          </w:p>
        </w:tc>
      </w:tr>
    </w:tbl>
    <w:p w14:paraId="6D9286D4" w14:textId="77777777" w:rsidR="006E4CC5" w:rsidRPr="00103299" w:rsidRDefault="006E4CC5" w:rsidP="00087BD6">
      <w:pPr>
        <w:jc w:val="both"/>
        <w:rPr>
          <w:lang w:val="en-US"/>
        </w:rPr>
      </w:pPr>
    </w:p>
    <w:sectPr w:rsidR="006E4CC5" w:rsidRPr="00103299" w:rsidSect="004536F3">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7FB7" w14:textId="77777777" w:rsidR="005C249B" w:rsidRDefault="005C249B" w:rsidP="005C249B">
      <w:pPr>
        <w:spacing w:after="0" w:line="240" w:lineRule="auto"/>
      </w:pPr>
      <w:r>
        <w:separator/>
      </w:r>
    </w:p>
  </w:endnote>
  <w:endnote w:type="continuationSeparator" w:id="0">
    <w:p w14:paraId="22F56292" w14:textId="77777777" w:rsidR="005C249B" w:rsidRDefault="005C249B" w:rsidP="005C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4027" w14:textId="55173DD7" w:rsidR="00CE6B3E" w:rsidRDefault="00CE6B3E" w:rsidP="00CE6B3E">
    <w:pPr>
      <w:pStyle w:val="Pieddepage"/>
      <w:tabs>
        <w:tab w:val="clear" w:pos="4680"/>
        <w:tab w:val="clear" w:pos="9360"/>
        <w:tab w:val="left" w:pos="9120"/>
      </w:tabs>
    </w:pPr>
    <w:r w:rsidRPr="00134326">
      <w:rPr>
        <w:noProof/>
      </w:rPr>
      <w:drawing>
        <wp:anchor distT="0" distB="0" distL="114300" distR="114300" simplePos="0" relativeHeight="251663360" behindDoc="0" locked="0" layoutInCell="1" allowOverlap="1" wp14:anchorId="15087118" wp14:editId="75FBA5F7">
          <wp:simplePos x="0" y="0"/>
          <wp:positionH relativeFrom="column">
            <wp:posOffset>5133975</wp:posOffset>
          </wp:positionH>
          <wp:positionV relativeFrom="paragraph">
            <wp:posOffset>-200025</wp:posOffset>
          </wp:positionV>
          <wp:extent cx="1870710" cy="948571"/>
          <wp:effectExtent l="0" t="0" r="0" b="4445"/>
          <wp:wrapNone/>
          <wp:docPr id="4" name="Picture 3">
            <a:extLst xmlns:a="http://schemas.openxmlformats.org/drawingml/2006/main">
              <a:ext uri="{FF2B5EF4-FFF2-40B4-BE49-F238E27FC236}">
                <a16:creationId xmlns:a16="http://schemas.microsoft.com/office/drawing/2014/main" id="{85415303-C8D4-6C64-48D7-1E3854E0E2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5415303-C8D4-6C64-48D7-1E3854E0E26A}"/>
                      </a:ext>
                    </a:extLst>
                  </pic:cNvPr>
                  <pic:cNvPicPr>
                    <a:picLocks noChangeAspect="1"/>
                  </pic:cNvPicPr>
                </pic:nvPicPr>
                <pic:blipFill>
                  <a:blip r:embed="rId1">
                    <a:extLst>
                      <a:ext uri="{28A0092B-C50C-407E-A947-70E740481C1C}">
                        <a14:useLocalDpi xmlns:a14="http://schemas.microsoft.com/office/drawing/2010/main" val="0"/>
                      </a:ext>
                    </a:extLst>
                  </a:blip>
                  <a:srcRect l="73467"/>
                  <a:stretch>
                    <a:fillRect/>
                  </a:stretch>
                </pic:blipFill>
                <pic:spPr>
                  <a:xfrm>
                    <a:off x="0" y="0"/>
                    <a:ext cx="1870710" cy="948571"/>
                  </a:xfrm>
                  <a:prstGeom prst="rect">
                    <a:avLst/>
                  </a:prstGeom>
                </pic:spPr>
              </pic:pic>
            </a:graphicData>
          </a:graphic>
          <wp14:sizeRelH relativeFrom="margin">
            <wp14:pctWidth>0</wp14:pctWidth>
          </wp14:sizeRelH>
          <wp14:sizeRelV relativeFrom="margin">
            <wp14:pctHeight>0</wp14:pctHeight>
          </wp14:sizeRelV>
        </wp:anchor>
      </w:drawing>
    </w:r>
    <w:r>
      <w:tab/>
    </w:r>
  </w:p>
  <w:p w14:paraId="76359A7C" w14:textId="77AC3279" w:rsidR="00CE6B3E" w:rsidRDefault="00CE6B3E">
    <w:pPr>
      <w:pStyle w:val="Pieddepage"/>
    </w:pPr>
    <w:r w:rsidRPr="00134326">
      <w:rPr>
        <w:noProof/>
      </w:rPr>
      <mc:AlternateContent>
        <mc:Choice Requires="wps">
          <w:drawing>
            <wp:anchor distT="0" distB="0" distL="114300" distR="114300" simplePos="0" relativeHeight="251661312" behindDoc="0" locked="0" layoutInCell="1" allowOverlap="1" wp14:anchorId="14A89056" wp14:editId="4C62A884">
              <wp:simplePos x="0" y="0"/>
              <wp:positionH relativeFrom="margin">
                <wp:posOffset>781050</wp:posOffset>
              </wp:positionH>
              <wp:positionV relativeFrom="paragraph">
                <wp:posOffset>353695</wp:posOffset>
              </wp:positionV>
              <wp:extent cx="4667097" cy="219075"/>
              <wp:effectExtent l="0" t="0" r="0" b="0"/>
              <wp:wrapNone/>
              <wp:docPr id="1282447055" name="TextBox 5"/>
              <wp:cNvGraphicFramePr/>
              <a:graphic xmlns:a="http://schemas.openxmlformats.org/drawingml/2006/main">
                <a:graphicData uri="http://schemas.microsoft.com/office/word/2010/wordprocessingShape">
                  <wps:wsp>
                    <wps:cNvSpPr txBox="1"/>
                    <wps:spPr>
                      <a:xfrm>
                        <a:off x="0" y="0"/>
                        <a:ext cx="4667097" cy="219075"/>
                      </a:xfrm>
                      <a:prstGeom prst="rect">
                        <a:avLst/>
                      </a:prstGeom>
                      <a:noFill/>
                    </wps:spPr>
                    <wps:txbx>
                      <w:txbxContent>
                        <w:p w14:paraId="3D46CC60" w14:textId="77777777" w:rsidR="00CE6B3E" w:rsidRPr="00CE6B3E" w:rsidRDefault="00CE6B3E" w:rsidP="00CE6B3E">
                          <w:pPr>
                            <w:rPr>
                              <w:rFonts w:asciiTheme="majorHAnsi" w:hAnsiTheme="majorHAnsi" w:cstheme="majorHAnsi"/>
                              <w:color w:val="000000" w:themeColor="text1"/>
                              <w:kern w:val="24"/>
                              <w:sz w:val="14"/>
                              <w:szCs w:val="14"/>
                              <w:lang w:val="fr-FR"/>
                            </w:rPr>
                          </w:pPr>
                          <w:r w:rsidRPr="00CE6B3E">
                            <w:rPr>
                              <w:rFonts w:asciiTheme="majorHAnsi" w:hAnsiTheme="majorHAnsi" w:cstheme="majorHAnsi"/>
                              <w:color w:val="000000" w:themeColor="text1"/>
                              <w:kern w:val="24"/>
                              <w:sz w:val="14"/>
                              <w:szCs w:val="14"/>
                              <w:lang w:val="fr-FR"/>
                            </w:rPr>
                            <w:t>1001 boulevard de Maisonneuve Ouest, Suite 310, Montreal, QC., H3A 3C8 | t (514) 419-8919 | f (514) 221-4665</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4A89056" id="_x0000_t202" coordsize="21600,21600" o:spt="202" path="m,l,21600r21600,l21600,xe">
              <v:stroke joinstyle="miter"/>
              <v:path gradientshapeok="t" o:connecttype="rect"/>
            </v:shapetype>
            <v:shape id="TextBox 5" o:spid="_x0000_s1026" type="#_x0000_t202" style="position:absolute;margin-left:61.5pt;margin-top:27.85pt;width:367.5pt;height:1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" filled="f" stroked="f">
              <v:textbox>
                <w:txbxContent>
                  <w:p w14:paraId="3D46CC60" w14:textId="77777777" w:rsidR="00CE6B3E" w:rsidRPr="00CE6B3E" w:rsidRDefault="00CE6B3E" w:rsidP="00CE6B3E">
                    <w:pPr>
                      <w:rPr>
                        <w:rFonts w:asciiTheme="majorHAnsi" w:hAnsiTheme="majorHAnsi" w:cstheme="majorHAnsi"/>
                        <w:color w:val="000000" w:themeColor="text1"/>
                        <w:kern w:val="24"/>
                        <w:sz w:val="14"/>
                        <w:szCs w:val="14"/>
                        <w:lang w:val="fr-FR"/>
                      </w:rPr>
                    </w:pPr>
                    <w:r w:rsidRPr="00CE6B3E">
                      <w:rPr>
                        <w:rFonts w:asciiTheme="majorHAnsi" w:hAnsiTheme="majorHAnsi" w:cstheme="majorHAnsi"/>
                        <w:color w:val="000000" w:themeColor="text1"/>
                        <w:kern w:val="24"/>
                        <w:sz w:val="14"/>
                        <w:szCs w:val="14"/>
                        <w:lang w:val="fr-FR"/>
                      </w:rPr>
                      <w:t>1001 boulevard de Maisonneuve Ouest, Suite 310, Montreal, QC., H3A 3C8 | t (514) 419-8919 | f (514) 221-4665</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CECC2" w14:textId="77777777" w:rsidR="005C249B" w:rsidRDefault="005C249B" w:rsidP="005C249B">
      <w:pPr>
        <w:spacing w:after="0" w:line="240" w:lineRule="auto"/>
      </w:pPr>
      <w:r>
        <w:separator/>
      </w:r>
    </w:p>
  </w:footnote>
  <w:footnote w:type="continuationSeparator" w:id="0">
    <w:p w14:paraId="2DADC035" w14:textId="77777777" w:rsidR="005C249B" w:rsidRDefault="005C249B" w:rsidP="005C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261A" w14:textId="24544342" w:rsidR="005C249B" w:rsidRDefault="005C249B">
    <w:pPr>
      <w:pStyle w:val="En-tte"/>
    </w:pPr>
    <w:r w:rsidRPr="00273FFF">
      <w:rPr>
        <w:noProof/>
      </w:rPr>
      <w:drawing>
        <wp:anchor distT="0" distB="0" distL="114300" distR="114300" simplePos="0" relativeHeight="251659264" behindDoc="1" locked="0" layoutInCell="1" allowOverlap="1" wp14:anchorId="656FBBBE" wp14:editId="58FC76F6">
          <wp:simplePos x="0" y="0"/>
          <wp:positionH relativeFrom="column">
            <wp:posOffset>-670034</wp:posOffset>
          </wp:positionH>
          <wp:positionV relativeFrom="paragraph">
            <wp:posOffset>-433814</wp:posOffset>
          </wp:positionV>
          <wp:extent cx="7769860" cy="835572"/>
          <wp:effectExtent l="0" t="0" r="2540" b="3175"/>
          <wp:wrapNone/>
          <wp:docPr id="1" name="Picture 1" descr="Une image contenant texte, capture d’écran,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e image contenant texte, capture d’écran, Police,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777509" cy="836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3E0919" w14:textId="77777777" w:rsidR="005C249B" w:rsidRDefault="005C24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8CD"/>
    <w:multiLevelType w:val="hybridMultilevel"/>
    <w:tmpl w:val="49B406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70964"/>
    <w:multiLevelType w:val="hybridMultilevel"/>
    <w:tmpl w:val="D1400C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5C2ED1"/>
    <w:multiLevelType w:val="hybridMultilevel"/>
    <w:tmpl w:val="93CED7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D01498"/>
    <w:multiLevelType w:val="hybridMultilevel"/>
    <w:tmpl w:val="EA5A2FD2"/>
    <w:lvl w:ilvl="0" w:tplc="DEA62702">
      <w:start w:val="9"/>
      <w:numFmt w:val="bullet"/>
      <w:lvlText w:val="-"/>
      <w:lvlJc w:val="left"/>
      <w:pPr>
        <w:ind w:left="720" w:hanging="360"/>
      </w:pPr>
      <w:rPr>
        <w:rFonts w:ascii="Times New Roman" w:eastAsiaTheme="minorHAnsi" w:hAnsi="Times New Roman" w:cs="Times New Roman"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5241E"/>
    <w:multiLevelType w:val="multilevel"/>
    <w:tmpl w:val="7536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F0C55"/>
    <w:multiLevelType w:val="hybridMultilevel"/>
    <w:tmpl w:val="8C56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A7773"/>
    <w:multiLevelType w:val="hybridMultilevel"/>
    <w:tmpl w:val="6D085C94"/>
    <w:lvl w:ilvl="0" w:tplc="7652B8DE">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BCE4B95"/>
    <w:multiLevelType w:val="hybridMultilevel"/>
    <w:tmpl w:val="9BC2CE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D014411"/>
    <w:multiLevelType w:val="multilevel"/>
    <w:tmpl w:val="9C500F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1680F"/>
    <w:multiLevelType w:val="multilevel"/>
    <w:tmpl w:val="4C084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A1DB2"/>
    <w:multiLevelType w:val="hybridMultilevel"/>
    <w:tmpl w:val="CE2274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2CB33B4"/>
    <w:multiLevelType w:val="multilevel"/>
    <w:tmpl w:val="8352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E56F3"/>
    <w:multiLevelType w:val="multilevel"/>
    <w:tmpl w:val="D5A22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D5F62"/>
    <w:multiLevelType w:val="hybridMultilevel"/>
    <w:tmpl w:val="177C6B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91B80"/>
    <w:multiLevelType w:val="multilevel"/>
    <w:tmpl w:val="6004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018E5"/>
    <w:multiLevelType w:val="hybridMultilevel"/>
    <w:tmpl w:val="93DCCAB8"/>
    <w:lvl w:ilvl="0" w:tplc="0C0C0001">
      <w:start w:val="1"/>
      <w:numFmt w:val="bullet"/>
      <w:lvlText w:val=""/>
      <w:lvlJc w:val="left"/>
      <w:pPr>
        <w:ind w:left="774" w:hanging="360"/>
      </w:pPr>
      <w:rPr>
        <w:rFonts w:ascii="Symbol" w:hAnsi="Symbol" w:hint="default"/>
      </w:rPr>
    </w:lvl>
    <w:lvl w:ilvl="1" w:tplc="0C0C0003" w:tentative="1">
      <w:start w:val="1"/>
      <w:numFmt w:val="bullet"/>
      <w:lvlText w:val="o"/>
      <w:lvlJc w:val="left"/>
      <w:pPr>
        <w:ind w:left="1494" w:hanging="360"/>
      </w:pPr>
      <w:rPr>
        <w:rFonts w:ascii="Courier New" w:hAnsi="Courier New" w:cs="Courier New" w:hint="default"/>
      </w:rPr>
    </w:lvl>
    <w:lvl w:ilvl="2" w:tplc="0C0C0005" w:tentative="1">
      <w:start w:val="1"/>
      <w:numFmt w:val="bullet"/>
      <w:lvlText w:val=""/>
      <w:lvlJc w:val="left"/>
      <w:pPr>
        <w:ind w:left="2214" w:hanging="360"/>
      </w:pPr>
      <w:rPr>
        <w:rFonts w:ascii="Wingdings" w:hAnsi="Wingdings" w:hint="default"/>
      </w:rPr>
    </w:lvl>
    <w:lvl w:ilvl="3" w:tplc="0C0C0001" w:tentative="1">
      <w:start w:val="1"/>
      <w:numFmt w:val="bullet"/>
      <w:lvlText w:val=""/>
      <w:lvlJc w:val="left"/>
      <w:pPr>
        <w:ind w:left="2934" w:hanging="360"/>
      </w:pPr>
      <w:rPr>
        <w:rFonts w:ascii="Symbol" w:hAnsi="Symbol" w:hint="default"/>
      </w:rPr>
    </w:lvl>
    <w:lvl w:ilvl="4" w:tplc="0C0C0003" w:tentative="1">
      <w:start w:val="1"/>
      <w:numFmt w:val="bullet"/>
      <w:lvlText w:val="o"/>
      <w:lvlJc w:val="left"/>
      <w:pPr>
        <w:ind w:left="3654" w:hanging="360"/>
      </w:pPr>
      <w:rPr>
        <w:rFonts w:ascii="Courier New" w:hAnsi="Courier New" w:cs="Courier New" w:hint="default"/>
      </w:rPr>
    </w:lvl>
    <w:lvl w:ilvl="5" w:tplc="0C0C0005" w:tentative="1">
      <w:start w:val="1"/>
      <w:numFmt w:val="bullet"/>
      <w:lvlText w:val=""/>
      <w:lvlJc w:val="left"/>
      <w:pPr>
        <w:ind w:left="4374" w:hanging="360"/>
      </w:pPr>
      <w:rPr>
        <w:rFonts w:ascii="Wingdings" w:hAnsi="Wingdings" w:hint="default"/>
      </w:rPr>
    </w:lvl>
    <w:lvl w:ilvl="6" w:tplc="0C0C0001" w:tentative="1">
      <w:start w:val="1"/>
      <w:numFmt w:val="bullet"/>
      <w:lvlText w:val=""/>
      <w:lvlJc w:val="left"/>
      <w:pPr>
        <w:ind w:left="5094" w:hanging="360"/>
      </w:pPr>
      <w:rPr>
        <w:rFonts w:ascii="Symbol" w:hAnsi="Symbol" w:hint="default"/>
      </w:rPr>
    </w:lvl>
    <w:lvl w:ilvl="7" w:tplc="0C0C0003" w:tentative="1">
      <w:start w:val="1"/>
      <w:numFmt w:val="bullet"/>
      <w:lvlText w:val="o"/>
      <w:lvlJc w:val="left"/>
      <w:pPr>
        <w:ind w:left="5814" w:hanging="360"/>
      </w:pPr>
      <w:rPr>
        <w:rFonts w:ascii="Courier New" w:hAnsi="Courier New" w:cs="Courier New" w:hint="default"/>
      </w:rPr>
    </w:lvl>
    <w:lvl w:ilvl="8" w:tplc="0C0C0005" w:tentative="1">
      <w:start w:val="1"/>
      <w:numFmt w:val="bullet"/>
      <w:lvlText w:val=""/>
      <w:lvlJc w:val="left"/>
      <w:pPr>
        <w:ind w:left="6534" w:hanging="360"/>
      </w:pPr>
      <w:rPr>
        <w:rFonts w:ascii="Wingdings" w:hAnsi="Wingdings" w:hint="default"/>
      </w:rPr>
    </w:lvl>
  </w:abstractNum>
  <w:abstractNum w:abstractNumId="16" w15:restartNumberingAfterBreak="0">
    <w:nsid w:val="4B554C95"/>
    <w:multiLevelType w:val="multilevel"/>
    <w:tmpl w:val="FDF2CB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B578C"/>
    <w:multiLevelType w:val="multilevel"/>
    <w:tmpl w:val="C4C8C47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95283D"/>
    <w:multiLevelType w:val="multilevel"/>
    <w:tmpl w:val="8A402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62A4C"/>
    <w:multiLevelType w:val="multilevel"/>
    <w:tmpl w:val="D16C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50217"/>
    <w:multiLevelType w:val="hybridMultilevel"/>
    <w:tmpl w:val="D578F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C24296"/>
    <w:multiLevelType w:val="hybridMultilevel"/>
    <w:tmpl w:val="9D008078"/>
    <w:lvl w:ilvl="0" w:tplc="7652B8DE">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C5A1586"/>
    <w:multiLevelType w:val="multilevel"/>
    <w:tmpl w:val="B5227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CE72D9"/>
    <w:multiLevelType w:val="hybridMultilevel"/>
    <w:tmpl w:val="9154D2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83B68"/>
    <w:multiLevelType w:val="multilevel"/>
    <w:tmpl w:val="78421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3333FA"/>
    <w:multiLevelType w:val="hybridMultilevel"/>
    <w:tmpl w:val="84647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112676">
    <w:abstractNumId w:val="15"/>
  </w:num>
  <w:num w:numId="2" w16cid:durableId="909997787">
    <w:abstractNumId w:val="1"/>
  </w:num>
  <w:num w:numId="3" w16cid:durableId="738669429">
    <w:abstractNumId w:val="10"/>
  </w:num>
  <w:num w:numId="4" w16cid:durableId="437411089">
    <w:abstractNumId w:val="7"/>
  </w:num>
  <w:num w:numId="5" w16cid:durableId="1795519296">
    <w:abstractNumId w:val="14"/>
  </w:num>
  <w:num w:numId="6" w16cid:durableId="707920929">
    <w:abstractNumId w:val="4"/>
  </w:num>
  <w:num w:numId="7" w16cid:durableId="1299993910">
    <w:abstractNumId w:val="19"/>
  </w:num>
  <w:num w:numId="8" w16cid:durableId="1056314729">
    <w:abstractNumId w:val="2"/>
  </w:num>
  <w:num w:numId="9" w16cid:durableId="1093815008">
    <w:abstractNumId w:val="21"/>
  </w:num>
  <w:num w:numId="10" w16cid:durableId="1086657714">
    <w:abstractNumId w:val="6"/>
  </w:num>
  <w:num w:numId="11" w16cid:durableId="1261179942">
    <w:abstractNumId w:val="5"/>
  </w:num>
  <w:num w:numId="12" w16cid:durableId="976953755">
    <w:abstractNumId w:val="3"/>
  </w:num>
  <w:num w:numId="13" w16cid:durableId="1403797321">
    <w:abstractNumId w:val="9"/>
  </w:num>
  <w:num w:numId="14" w16cid:durableId="2059627099">
    <w:abstractNumId w:val="18"/>
  </w:num>
  <w:num w:numId="15" w16cid:durableId="1776945641">
    <w:abstractNumId w:val="24"/>
  </w:num>
  <w:num w:numId="16" w16cid:durableId="1157191167">
    <w:abstractNumId w:val="23"/>
  </w:num>
  <w:num w:numId="17" w16cid:durableId="1340356312">
    <w:abstractNumId w:val="12"/>
  </w:num>
  <w:num w:numId="18" w16cid:durableId="1333677537">
    <w:abstractNumId w:val="11"/>
  </w:num>
  <w:num w:numId="19" w16cid:durableId="1302804432">
    <w:abstractNumId w:val="22"/>
  </w:num>
  <w:num w:numId="20" w16cid:durableId="1597514582">
    <w:abstractNumId w:val="13"/>
  </w:num>
  <w:num w:numId="21" w16cid:durableId="674110315">
    <w:abstractNumId w:val="16"/>
  </w:num>
  <w:num w:numId="22" w16cid:durableId="1672442449">
    <w:abstractNumId w:val="17"/>
  </w:num>
  <w:num w:numId="23" w16cid:durableId="447894316">
    <w:abstractNumId w:val="25"/>
  </w:num>
  <w:num w:numId="24" w16cid:durableId="251620400">
    <w:abstractNumId w:val="8"/>
  </w:num>
  <w:num w:numId="25" w16cid:durableId="1258173946">
    <w:abstractNumId w:val="0"/>
  </w:num>
  <w:num w:numId="26" w16cid:durableId="14493537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F3"/>
    <w:rsid w:val="00015D88"/>
    <w:rsid w:val="000319E5"/>
    <w:rsid w:val="00045346"/>
    <w:rsid w:val="000500F8"/>
    <w:rsid w:val="000552E3"/>
    <w:rsid w:val="0006018E"/>
    <w:rsid w:val="00070889"/>
    <w:rsid w:val="0007620C"/>
    <w:rsid w:val="00087BD6"/>
    <w:rsid w:val="000A544B"/>
    <w:rsid w:val="000A5E90"/>
    <w:rsid w:val="000A6CE8"/>
    <w:rsid w:val="000B00AE"/>
    <w:rsid w:val="000B5C6C"/>
    <w:rsid w:val="000F236C"/>
    <w:rsid w:val="00103299"/>
    <w:rsid w:val="0012777A"/>
    <w:rsid w:val="00132973"/>
    <w:rsid w:val="001379C4"/>
    <w:rsid w:val="00143498"/>
    <w:rsid w:val="001440A5"/>
    <w:rsid w:val="001531CC"/>
    <w:rsid w:val="00155693"/>
    <w:rsid w:val="00170824"/>
    <w:rsid w:val="00172F24"/>
    <w:rsid w:val="00182360"/>
    <w:rsid w:val="001908DE"/>
    <w:rsid w:val="00191A59"/>
    <w:rsid w:val="001A69E4"/>
    <w:rsid w:val="001B05BE"/>
    <w:rsid w:val="001B1322"/>
    <w:rsid w:val="001B1F6C"/>
    <w:rsid w:val="001B6A30"/>
    <w:rsid w:val="001C7DA4"/>
    <w:rsid w:val="001D17AB"/>
    <w:rsid w:val="001D6D64"/>
    <w:rsid w:val="0020250D"/>
    <w:rsid w:val="002132D9"/>
    <w:rsid w:val="00213F2A"/>
    <w:rsid w:val="00216048"/>
    <w:rsid w:val="00254243"/>
    <w:rsid w:val="0025746E"/>
    <w:rsid w:val="002578C7"/>
    <w:rsid w:val="00281AD7"/>
    <w:rsid w:val="00282C12"/>
    <w:rsid w:val="0028599A"/>
    <w:rsid w:val="00285D65"/>
    <w:rsid w:val="002A3CE1"/>
    <w:rsid w:val="002B5986"/>
    <w:rsid w:val="002D65B3"/>
    <w:rsid w:val="002D7922"/>
    <w:rsid w:val="002E1558"/>
    <w:rsid w:val="002E3423"/>
    <w:rsid w:val="00305BA1"/>
    <w:rsid w:val="00306A53"/>
    <w:rsid w:val="00317854"/>
    <w:rsid w:val="00326963"/>
    <w:rsid w:val="00333704"/>
    <w:rsid w:val="003362AF"/>
    <w:rsid w:val="0034196B"/>
    <w:rsid w:val="00385199"/>
    <w:rsid w:val="003878BF"/>
    <w:rsid w:val="003B0471"/>
    <w:rsid w:val="003B04C4"/>
    <w:rsid w:val="003D09AD"/>
    <w:rsid w:val="003D1B4A"/>
    <w:rsid w:val="003D5DE6"/>
    <w:rsid w:val="003E6AFF"/>
    <w:rsid w:val="003F36E4"/>
    <w:rsid w:val="00436D08"/>
    <w:rsid w:val="004509DF"/>
    <w:rsid w:val="00452E3D"/>
    <w:rsid w:val="004536F3"/>
    <w:rsid w:val="00457B69"/>
    <w:rsid w:val="00462E1E"/>
    <w:rsid w:val="00466F2D"/>
    <w:rsid w:val="00486311"/>
    <w:rsid w:val="004A3B6C"/>
    <w:rsid w:val="004C33C2"/>
    <w:rsid w:val="004C4739"/>
    <w:rsid w:val="004C562D"/>
    <w:rsid w:val="004D6C4A"/>
    <w:rsid w:val="004E3706"/>
    <w:rsid w:val="004F2D74"/>
    <w:rsid w:val="00521391"/>
    <w:rsid w:val="005270F3"/>
    <w:rsid w:val="00527E85"/>
    <w:rsid w:val="00530241"/>
    <w:rsid w:val="00535259"/>
    <w:rsid w:val="00546890"/>
    <w:rsid w:val="0055617E"/>
    <w:rsid w:val="005740F3"/>
    <w:rsid w:val="0058366E"/>
    <w:rsid w:val="00595929"/>
    <w:rsid w:val="005A22A8"/>
    <w:rsid w:val="005A4F87"/>
    <w:rsid w:val="005B129D"/>
    <w:rsid w:val="005B5DBB"/>
    <w:rsid w:val="005C249B"/>
    <w:rsid w:val="005E1D56"/>
    <w:rsid w:val="005E7A17"/>
    <w:rsid w:val="005F21F0"/>
    <w:rsid w:val="00626078"/>
    <w:rsid w:val="00664C77"/>
    <w:rsid w:val="00687C6E"/>
    <w:rsid w:val="006968BE"/>
    <w:rsid w:val="006A2AF0"/>
    <w:rsid w:val="006C26E1"/>
    <w:rsid w:val="006C4D6C"/>
    <w:rsid w:val="006D3E21"/>
    <w:rsid w:val="006E21BA"/>
    <w:rsid w:val="006E4CC5"/>
    <w:rsid w:val="006E5325"/>
    <w:rsid w:val="006F41EF"/>
    <w:rsid w:val="006F5D4A"/>
    <w:rsid w:val="00727AB2"/>
    <w:rsid w:val="00731A9E"/>
    <w:rsid w:val="00732E7B"/>
    <w:rsid w:val="0073430B"/>
    <w:rsid w:val="00737A47"/>
    <w:rsid w:val="00742452"/>
    <w:rsid w:val="00760227"/>
    <w:rsid w:val="0077310F"/>
    <w:rsid w:val="00793AF2"/>
    <w:rsid w:val="00794EB0"/>
    <w:rsid w:val="00795F89"/>
    <w:rsid w:val="007A695B"/>
    <w:rsid w:val="007B242D"/>
    <w:rsid w:val="007B760E"/>
    <w:rsid w:val="007E4F59"/>
    <w:rsid w:val="007E6341"/>
    <w:rsid w:val="007F599D"/>
    <w:rsid w:val="007F78D3"/>
    <w:rsid w:val="00802F15"/>
    <w:rsid w:val="00804010"/>
    <w:rsid w:val="00813CA2"/>
    <w:rsid w:val="00814282"/>
    <w:rsid w:val="00822D71"/>
    <w:rsid w:val="008237DB"/>
    <w:rsid w:val="00847057"/>
    <w:rsid w:val="00850C0D"/>
    <w:rsid w:val="0085472B"/>
    <w:rsid w:val="00857527"/>
    <w:rsid w:val="00864225"/>
    <w:rsid w:val="008719C3"/>
    <w:rsid w:val="0087754D"/>
    <w:rsid w:val="00881A17"/>
    <w:rsid w:val="008A06D8"/>
    <w:rsid w:val="008B3AE8"/>
    <w:rsid w:val="008B4877"/>
    <w:rsid w:val="008B5806"/>
    <w:rsid w:val="008C575B"/>
    <w:rsid w:val="008E5DB3"/>
    <w:rsid w:val="008E7EA2"/>
    <w:rsid w:val="008F71EA"/>
    <w:rsid w:val="00903CD3"/>
    <w:rsid w:val="009041D6"/>
    <w:rsid w:val="00904676"/>
    <w:rsid w:val="009348B0"/>
    <w:rsid w:val="00941973"/>
    <w:rsid w:val="00957577"/>
    <w:rsid w:val="00963621"/>
    <w:rsid w:val="009666DE"/>
    <w:rsid w:val="00967393"/>
    <w:rsid w:val="00970F41"/>
    <w:rsid w:val="00971771"/>
    <w:rsid w:val="00982572"/>
    <w:rsid w:val="009870E9"/>
    <w:rsid w:val="00987FC0"/>
    <w:rsid w:val="009A2019"/>
    <w:rsid w:val="009A2E56"/>
    <w:rsid w:val="009B0624"/>
    <w:rsid w:val="009B3C19"/>
    <w:rsid w:val="009D1CFC"/>
    <w:rsid w:val="009D5A64"/>
    <w:rsid w:val="009E1A8C"/>
    <w:rsid w:val="009F169F"/>
    <w:rsid w:val="00A41CB5"/>
    <w:rsid w:val="00A60CEE"/>
    <w:rsid w:val="00A92586"/>
    <w:rsid w:val="00AA01CF"/>
    <w:rsid w:val="00AA10BC"/>
    <w:rsid w:val="00AA239C"/>
    <w:rsid w:val="00AD4D4F"/>
    <w:rsid w:val="00AE2407"/>
    <w:rsid w:val="00AF41A4"/>
    <w:rsid w:val="00AF49D9"/>
    <w:rsid w:val="00B163CB"/>
    <w:rsid w:val="00B23EF4"/>
    <w:rsid w:val="00B25E1A"/>
    <w:rsid w:val="00B26E14"/>
    <w:rsid w:val="00B322F8"/>
    <w:rsid w:val="00B471A7"/>
    <w:rsid w:val="00B53AAD"/>
    <w:rsid w:val="00B661ED"/>
    <w:rsid w:val="00B820B2"/>
    <w:rsid w:val="00B83118"/>
    <w:rsid w:val="00B941E1"/>
    <w:rsid w:val="00BB5029"/>
    <w:rsid w:val="00BB6E79"/>
    <w:rsid w:val="00BC0637"/>
    <w:rsid w:val="00BC4C49"/>
    <w:rsid w:val="00C04EBD"/>
    <w:rsid w:val="00C21C6C"/>
    <w:rsid w:val="00C26C9E"/>
    <w:rsid w:val="00C30DAA"/>
    <w:rsid w:val="00C44D4F"/>
    <w:rsid w:val="00C55B4F"/>
    <w:rsid w:val="00C7483D"/>
    <w:rsid w:val="00C751D5"/>
    <w:rsid w:val="00C8395B"/>
    <w:rsid w:val="00C84FD2"/>
    <w:rsid w:val="00C913F5"/>
    <w:rsid w:val="00C91615"/>
    <w:rsid w:val="00CA545A"/>
    <w:rsid w:val="00CB2F50"/>
    <w:rsid w:val="00CC0B13"/>
    <w:rsid w:val="00CC70EA"/>
    <w:rsid w:val="00CD0E13"/>
    <w:rsid w:val="00CD1F76"/>
    <w:rsid w:val="00CE6B3E"/>
    <w:rsid w:val="00CE7FCE"/>
    <w:rsid w:val="00D0228D"/>
    <w:rsid w:val="00D1495B"/>
    <w:rsid w:val="00D42E86"/>
    <w:rsid w:val="00D51C79"/>
    <w:rsid w:val="00D577C6"/>
    <w:rsid w:val="00D778D3"/>
    <w:rsid w:val="00D8463C"/>
    <w:rsid w:val="00D9168F"/>
    <w:rsid w:val="00DA4F12"/>
    <w:rsid w:val="00DB6501"/>
    <w:rsid w:val="00DC631F"/>
    <w:rsid w:val="00DF4F4F"/>
    <w:rsid w:val="00E055F5"/>
    <w:rsid w:val="00E208BD"/>
    <w:rsid w:val="00E25D8B"/>
    <w:rsid w:val="00E46C26"/>
    <w:rsid w:val="00E61451"/>
    <w:rsid w:val="00E83B5B"/>
    <w:rsid w:val="00E917C3"/>
    <w:rsid w:val="00E94CCC"/>
    <w:rsid w:val="00EB7CFB"/>
    <w:rsid w:val="00EC7651"/>
    <w:rsid w:val="00ED7DEA"/>
    <w:rsid w:val="00EF112A"/>
    <w:rsid w:val="00EF4BC6"/>
    <w:rsid w:val="00F01B82"/>
    <w:rsid w:val="00F06228"/>
    <w:rsid w:val="00F12279"/>
    <w:rsid w:val="00F25381"/>
    <w:rsid w:val="00F2588A"/>
    <w:rsid w:val="00F33E66"/>
    <w:rsid w:val="00F4358C"/>
    <w:rsid w:val="00F602F5"/>
    <w:rsid w:val="00F739B9"/>
    <w:rsid w:val="00F76721"/>
    <w:rsid w:val="00F857E5"/>
    <w:rsid w:val="00FA57C5"/>
    <w:rsid w:val="00FA73EA"/>
    <w:rsid w:val="00FB086E"/>
    <w:rsid w:val="00FC7F07"/>
    <w:rsid w:val="00FE62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FBC7F5"/>
  <w15:chartTrackingRefBased/>
  <w15:docId w15:val="{636F34E3-8ECA-4EB3-8464-D844E411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8BF"/>
  </w:style>
  <w:style w:type="paragraph" w:styleId="Titre1">
    <w:name w:val="heading 1"/>
    <w:basedOn w:val="Normal"/>
    <w:next w:val="Normal"/>
    <w:link w:val="Titre1Car"/>
    <w:uiPriority w:val="9"/>
    <w:qFormat/>
    <w:rsid w:val="007B760E"/>
    <w:pPr>
      <w:keepNext/>
      <w:keepLines/>
      <w:spacing w:before="480" w:after="200"/>
      <w:outlineLvl w:val="0"/>
    </w:pPr>
    <w:rPr>
      <w:rFonts w:asciiTheme="majorHAnsi" w:eastAsiaTheme="majorEastAsia" w:hAnsiTheme="majorHAnsi" w:cstheme="majorBidi"/>
      <w:b/>
      <w:smallCaps/>
      <w:color w:val="C00000"/>
      <w:sz w:val="32"/>
      <w:szCs w:val="40"/>
    </w:rPr>
  </w:style>
  <w:style w:type="paragraph" w:styleId="Titre2">
    <w:name w:val="heading 2"/>
    <w:basedOn w:val="Normal"/>
    <w:next w:val="Normal"/>
    <w:link w:val="Titre2Car"/>
    <w:uiPriority w:val="9"/>
    <w:unhideWhenUsed/>
    <w:qFormat/>
    <w:rsid w:val="00B26E14"/>
    <w:pPr>
      <w:keepNext/>
      <w:keepLines/>
      <w:spacing w:before="280" w:after="200"/>
      <w:outlineLvl w:val="1"/>
    </w:pPr>
    <w:rPr>
      <w:rFonts w:asciiTheme="majorHAnsi" w:eastAsiaTheme="majorEastAsia" w:hAnsiTheme="majorHAnsi" w:cstheme="majorBidi"/>
      <w:b/>
      <w:szCs w:val="32"/>
      <w:u w:val="single"/>
    </w:rPr>
  </w:style>
  <w:style w:type="paragraph" w:styleId="Titre3">
    <w:name w:val="heading 3"/>
    <w:basedOn w:val="Normal"/>
    <w:next w:val="Normal"/>
    <w:link w:val="Titre3Car"/>
    <w:uiPriority w:val="9"/>
    <w:unhideWhenUsed/>
    <w:qFormat/>
    <w:rsid w:val="004536F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36F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36F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36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36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36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36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760E"/>
    <w:rPr>
      <w:rFonts w:asciiTheme="majorHAnsi" w:eastAsiaTheme="majorEastAsia" w:hAnsiTheme="majorHAnsi" w:cstheme="majorBidi"/>
      <w:b/>
      <w:smallCaps/>
      <w:color w:val="C00000"/>
      <w:sz w:val="32"/>
      <w:szCs w:val="40"/>
    </w:rPr>
  </w:style>
  <w:style w:type="character" w:customStyle="1" w:styleId="Titre2Car">
    <w:name w:val="Titre 2 Car"/>
    <w:basedOn w:val="Policepardfaut"/>
    <w:link w:val="Titre2"/>
    <w:uiPriority w:val="9"/>
    <w:rsid w:val="00B26E14"/>
    <w:rPr>
      <w:rFonts w:asciiTheme="majorHAnsi" w:eastAsiaTheme="majorEastAsia" w:hAnsiTheme="majorHAnsi" w:cstheme="majorBidi"/>
      <w:b/>
      <w:szCs w:val="32"/>
      <w:u w:val="single"/>
    </w:rPr>
  </w:style>
  <w:style w:type="character" w:customStyle="1" w:styleId="Titre3Car">
    <w:name w:val="Titre 3 Car"/>
    <w:basedOn w:val="Policepardfaut"/>
    <w:link w:val="Titre3"/>
    <w:uiPriority w:val="9"/>
    <w:rsid w:val="004536F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36F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36F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36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36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36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36F3"/>
    <w:rPr>
      <w:rFonts w:eastAsiaTheme="majorEastAsia" w:cstheme="majorBidi"/>
      <w:color w:val="272727" w:themeColor="text1" w:themeTint="D8"/>
    </w:rPr>
  </w:style>
  <w:style w:type="paragraph" w:styleId="Titre">
    <w:name w:val="Title"/>
    <w:basedOn w:val="Normal"/>
    <w:next w:val="Normal"/>
    <w:link w:val="TitreCar"/>
    <w:uiPriority w:val="10"/>
    <w:qFormat/>
    <w:rsid w:val="00453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36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36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36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36F3"/>
    <w:pPr>
      <w:spacing w:before="160"/>
      <w:jc w:val="center"/>
    </w:pPr>
    <w:rPr>
      <w:i/>
      <w:iCs/>
      <w:color w:val="404040" w:themeColor="text1" w:themeTint="BF"/>
    </w:rPr>
  </w:style>
  <w:style w:type="character" w:customStyle="1" w:styleId="CitationCar">
    <w:name w:val="Citation Car"/>
    <w:basedOn w:val="Policepardfaut"/>
    <w:link w:val="Citation"/>
    <w:uiPriority w:val="29"/>
    <w:rsid w:val="004536F3"/>
    <w:rPr>
      <w:i/>
      <w:iCs/>
      <w:color w:val="404040" w:themeColor="text1" w:themeTint="BF"/>
    </w:rPr>
  </w:style>
  <w:style w:type="paragraph" w:styleId="Paragraphedeliste">
    <w:name w:val="List Paragraph"/>
    <w:basedOn w:val="Normal"/>
    <w:uiPriority w:val="34"/>
    <w:qFormat/>
    <w:rsid w:val="004536F3"/>
    <w:pPr>
      <w:ind w:left="720"/>
      <w:contextualSpacing/>
    </w:pPr>
  </w:style>
  <w:style w:type="character" w:styleId="Accentuationintense">
    <w:name w:val="Intense Emphasis"/>
    <w:basedOn w:val="Policepardfaut"/>
    <w:uiPriority w:val="21"/>
    <w:qFormat/>
    <w:rsid w:val="004536F3"/>
    <w:rPr>
      <w:i/>
      <w:iCs/>
      <w:color w:val="0F4761" w:themeColor="accent1" w:themeShade="BF"/>
    </w:rPr>
  </w:style>
  <w:style w:type="paragraph" w:styleId="Citationintense">
    <w:name w:val="Intense Quote"/>
    <w:basedOn w:val="Normal"/>
    <w:next w:val="Normal"/>
    <w:link w:val="CitationintenseCar"/>
    <w:uiPriority w:val="30"/>
    <w:qFormat/>
    <w:rsid w:val="00453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36F3"/>
    <w:rPr>
      <w:i/>
      <w:iCs/>
      <w:color w:val="0F4761" w:themeColor="accent1" w:themeShade="BF"/>
    </w:rPr>
  </w:style>
  <w:style w:type="character" w:styleId="Rfrenceintense">
    <w:name w:val="Intense Reference"/>
    <w:basedOn w:val="Policepardfaut"/>
    <w:uiPriority w:val="32"/>
    <w:qFormat/>
    <w:rsid w:val="004536F3"/>
    <w:rPr>
      <w:b/>
      <w:bCs/>
      <w:smallCaps/>
      <w:color w:val="0F4761" w:themeColor="accent1" w:themeShade="BF"/>
      <w:spacing w:val="5"/>
    </w:rPr>
  </w:style>
  <w:style w:type="paragraph" w:styleId="TM1">
    <w:name w:val="toc 1"/>
    <w:basedOn w:val="Normal"/>
    <w:next w:val="Normal"/>
    <w:autoRedefine/>
    <w:uiPriority w:val="39"/>
    <w:unhideWhenUsed/>
    <w:rsid w:val="00EF112A"/>
    <w:pPr>
      <w:tabs>
        <w:tab w:val="right" w:leader="dot" w:pos="10070"/>
      </w:tabs>
      <w:spacing w:after="100"/>
    </w:pPr>
    <w:rPr>
      <w:b/>
      <w:bCs/>
      <w:noProof/>
    </w:rPr>
  </w:style>
  <w:style w:type="paragraph" w:styleId="TM2">
    <w:name w:val="toc 2"/>
    <w:basedOn w:val="Normal"/>
    <w:next w:val="Normal"/>
    <w:autoRedefine/>
    <w:uiPriority w:val="39"/>
    <w:unhideWhenUsed/>
    <w:rsid w:val="00EF112A"/>
    <w:pPr>
      <w:spacing w:after="100"/>
      <w:ind w:left="240"/>
    </w:pPr>
  </w:style>
  <w:style w:type="character" w:styleId="Lienhypertexte">
    <w:name w:val="Hyperlink"/>
    <w:basedOn w:val="Policepardfaut"/>
    <w:uiPriority w:val="99"/>
    <w:unhideWhenUsed/>
    <w:rsid w:val="000F236C"/>
    <w:rPr>
      <w:color w:val="467886" w:themeColor="hyperlink"/>
      <w:u w:val="single"/>
    </w:rPr>
  </w:style>
  <w:style w:type="paragraph" w:styleId="En-ttedetabledesmatires">
    <w:name w:val="TOC Heading"/>
    <w:basedOn w:val="Titre1"/>
    <w:next w:val="Normal"/>
    <w:uiPriority w:val="39"/>
    <w:unhideWhenUsed/>
    <w:qFormat/>
    <w:rsid w:val="000F236C"/>
    <w:pPr>
      <w:spacing w:before="240" w:after="0" w:line="259" w:lineRule="auto"/>
      <w:outlineLvl w:val="9"/>
    </w:pPr>
    <w:rPr>
      <w:b w:val="0"/>
      <w:color w:val="0F4761" w:themeColor="accent1" w:themeShade="BF"/>
      <w:kern w:val="0"/>
      <w:szCs w:val="32"/>
      <w:lang w:val="en-US"/>
      <w14:ligatures w14:val="none"/>
    </w:rPr>
  </w:style>
  <w:style w:type="table" w:styleId="Grilledutableau">
    <w:name w:val="Table Grid"/>
    <w:basedOn w:val="TableauNormal"/>
    <w:uiPriority w:val="39"/>
    <w:rsid w:val="00CD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D7DEA"/>
    <w:rPr>
      <w:color w:val="605E5C"/>
      <w:shd w:val="clear" w:color="auto" w:fill="E1DFDD"/>
    </w:rPr>
  </w:style>
  <w:style w:type="paragraph" w:styleId="En-tte">
    <w:name w:val="header"/>
    <w:basedOn w:val="Normal"/>
    <w:link w:val="En-tteCar"/>
    <w:uiPriority w:val="99"/>
    <w:unhideWhenUsed/>
    <w:rsid w:val="005C249B"/>
    <w:pPr>
      <w:tabs>
        <w:tab w:val="center" w:pos="4680"/>
        <w:tab w:val="right" w:pos="9360"/>
      </w:tabs>
      <w:spacing w:after="0" w:line="240" w:lineRule="auto"/>
    </w:pPr>
  </w:style>
  <w:style w:type="character" w:customStyle="1" w:styleId="En-tteCar">
    <w:name w:val="En-tête Car"/>
    <w:basedOn w:val="Policepardfaut"/>
    <w:link w:val="En-tte"/>
    <w:uiPriority w:val="99"/>
    <w:rsid w:val="005C249B"/>
  </w:style>
  <w:style w:type="paragraph" w:styleId="Pieddepage">
    <w:name w:val="footer"/>
    <w:basedOn w:val="Normal"/>
    <w:link w:val="PieddepageCar"/>
    <w:uiPriority w:val="99"/>
    <w:unhideWhenUsed/>
    <w:rsid w:val="005C249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C249B"/>
  </w:style>
  <w:style w:type="paragraph" w:styleId="NormalWeb">
    <w:name w:val="Normal (Web)"/>
    <w:basedOn w:val="Normal"/>
    <w:uiPriority w:val="99"/>
    <w:unhideWhenUsed/>
    <w:rsid w:val="00F4358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lev">
    <w:name w:val="Strong"/>
    <w:basedOn w:val="Policepardfaut"/>
    <w:uiPriority w:val="22"/>
    <w:qFormat/>
    <w:rsid w:val="00F4358C"/>
    <w:rPr>
      <w:b/>
      <w:bCs/>
    </w:rPr>
  </w:style>
  <w:style w:type="paragraph" w:customStyle="1" w:styleId="Default">
    <w:name w:val="Default"/>
    <w:rsid w:val="00C751D5"/>
    <w:pPr>
      <w:autoSpaceDE w:val="0"/>
      <w:autoSpaceDN w:val="0"/>
      <w:adjustRightInd w:val="0"/>
      <w:spacing w:after="0" w:line="240" w:lineRule="auto"/>
    </w:pPr>
    <w:rPr>
      <w:rFonts w:ascii="Lato" w:hAnsi="Lato" w:cs="Lato"/>
      <w:color w:val="000000"/>
      <w:kern w:val="0"/>
      <w:lang w:val="en-US"/>
    </w:rPr>
  </w:style>
  <w:style w:type="paragraph" w:styleId="TM3">
    <w:name w:val="toc 3"/>
    <w:basedOn w:val="Normal"/>
    <w:next w:val="Normal"/>
    <w:autoRedefine/>
    <w:uiPriority w:val="39"/>
    <w:unhideWhenUsed/>
    <w:rsid w:val="00EF112A"/>
    <w:pPr>
      <w:spacing w:after="100" w:line="259" w:lineRule="auto"/>
      <w:ind w:left="440"/>
    </w:pPr>
    <w:rPr>
      <w:rFonts w:eastAsiaTheme="minorEastAsia" w:cs="Times New Roman"/>
      <w:kern w:val="0"/>
      <w:sz w:val="22"/>
      <w:szCs w:val="22"/>
      <w:lang w:val="en-US"/>
      <w14:ligatures w14:val="none"/>
    </w:rPr>
  </w:style>
  <w:style w:type="character" w:styleId="Lienhypertextesuivivisit">
    <w:name w:val="FollowedHyperlink"/>
    <w:basedOn w:val="Policepardfaut"/>
    <w:uiPriority w:val="99"/>
    <w:semiHidden/>
    <w:unhideWhenUsed/>
    <w:rsid w:val="00436D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331">
      <w:bodyDiv w:val="1"/>
      <w:marLeft w:val="0"/>
      <w:marRight w:val="0"/>
      <w:marTop w:val="0"/>
      <w:marBottom w:val="0"/>
      <w:divBdr>
        <w:top w:val="none" w:sz="0" w:space="0" w:color="auto"/>
        <w:left w:val="none" w:sz="0" w:space="0" w:color="auto"/>
        <w:bottom w:val="none" w:sz="0" w:space="0" w:color="auto"/>
        <w:right w:val="none" w:sz="0" w:space="0" w:color="auto"/>
      </w:divBdr>
    </w:div>
    <w:div w:id="102500653">
      <w:bodyDiv w:val="1"/>
      <w:marLeft w:val="0"/>
      <w:marRight w:val="0"/>
      <w:marTop w:val="0"/>
      <w:marBottom w:val="0"/>
      <w:divBdr>
        <w:top w:val="none" w:sz="0" w:space="0" w:color="auto"/>
        <w:left w:val="none" w:sz="0" w:space="0" w:color="auto"/>
        <w:bottom w:val="none" w:sz="0" w:space="0" w:color="auto"/>
        <w:right w:val="none" w:sz="0" w:space="0" w:color="auto"/>
      </w:divBdr>
    </w:div>
    <w:div w:id="203636997">
      <w:bodyDiv w:val="1"/>
      <w:marLeft w:val="0"/>
      <w:marRight w:val="0"/>
      <w:marTop w:val="0"/>
      <w:marBottom w:val="0"/>
      <w:divBdr>
        <w:top w:val="none" w:sz="0" w:space="0" w:color="auto"/>
        <w:left w:val="none" w:sz="0" w:space="0" w:color="auto"/>
        <w:bottom w:val="none" w:sz="0" w:space="0" w:color="auto"/>
        <w:right w:val="none" w:sz="0" w:space="0" w:color="auto"/>
      </w:divBdr>
    </w:div>
    <w:div w:id="233127617">
      <w:bodyDiv w:val="1"/>
      <w:marLeft w:val="0"/>
      <w:marRight w:val="0"/>
      <w:marTop w:val="0"/>
      <w:marBottom w:val="0"/>
      <w:divBdr>
        <w:top w:val="none" w:sz="0" w:space="0" w:color="auto"/>
        <w:left w:val="none" w:sz="0" w:space="0" w:color="auto"/>
        <w:bottom w:val="none" w:sz="0" w:space="0" w:color="auto"/>
        <w:right w:val="none" w:sz="0" w:space="0" w:color="auto"/>
      </w:divBdr>
    </w:div>
    <w:div w:id="252933872">
      <w:bodyDiv w:val="1"/>
      <w:marLeft w:val="0"/>
      <w:marRight w:val="0"/>
      <w:marTop w:val="0"/>
      <w:marBottom w:val="0"/>
      <w:divBdr>
        <w:top w:val="none" w:sz="0" w:space="0" w:color="auto"/>
        <w:left w:val="none" w:sz="0" w:space="0" w:color="auto"/>
        <w:bottom w:val="none" w:sz="0" w:space="0" w:color="auto"/>
        <w:right w:val="none" w:sz="0" w:space="0" w:color="auto"/>
      </w:divBdr>
    </w:div>
    <w:div w:id="281151515">
      <w:bodyDiv w:val="1"/>
      <w:marLeft w:val="0"/>
      <w:marRight w:val="0"/>
      <w:marTop w:val="0"/>
      <w:marBottom w:val="0"/>
      <w:divBdr>
        <w:top w:val="none" w:sz="0" w:space="0" w:color="auto"/>
        <w:left w:val="none" w:sz="0" w:space="0" w:color="auto"/>
        <w:bottom w:val="none" w:sz="0" w:space="0" w:color="auto"/>
        <w:right w:val="none" w:sz="0" w:space="0" w:color="auto"/>
      </w:divBdr>
    </w:div>
    <w:div w:id="332726598">
      <w:bodyDiv w:val="1"/>
      <w:marLeft w:val="0"/>
      <w:marRight w:val="0"/>
      <w:marTop w:val="0"/>
      <w:marBottom w:val="0"/>
      <w:divBdr>
        <w:top w:val="none" w:sz="0" w:space="0" w:color="auto"/>
        <w:left w:val="none" w:sz="0" w:space="0" w:color="auto"/>
        <w:bottom w:val="none" w:sz="0" w:space="0" w:color="auto"/>
        <w:right w:val="none" w:sz="0" w:space="0" w:color="auto"/>
      </w:divBdr>
    </w:div>
    <w:div w:id="356204239">
      <w:bodyDiv w:val="1"/>
      <w:marLeft w:val="0"/>
      <w:marRight w:val="0"/>
      <w:marTop w:val="0"/>
      <w:marBottom w:val="0"/>
      <w:divBdr>
        <w:top w:val="none" w:sz="0" w:space="0" w:color="auto"/>
        <w:left w:val="none" w:sz="0" w:space="0" w:color="auto"/>
        <w:bottom w:val="none" w:sz="0" w:space="0" w:color="auto"/>
        <w:right w:val="none" w:sz="0" w:space="0" w:color="auto"/>
      </w:divBdr>
    </w:div>
    <w:div w:id="377630443">
      <w:bodyDiv w:val="1"/>
      <w:marLeft w:val="0"/>
      <w:marRight w:val="0"/>
      <w:marTop w:val="0"/>
      <w:marBottom w:val="0"/>
      <w:divBdr>
        <w:top w:val="none" w:sz="0" w:space="0" w:color="auto"/>
        <w:left w:val="none" w:sz="0" w:space="0" w:color="auto"/>
        <w:bottom w:val="none" w:sz="0" w:space="0" w:color="auto"/>
        <w:right w:val="none" w:sz="0" w:space="0" w:color="auto"/>
      </w:divBdr>
    </w:div>
    <w:div w:id="400370039">
      <w:bodyDiv w:val="1"/>
      <w:marLeft w:val="0"/>
      <w:marRight w:val="0"/>
      <w:marTop w:val="0"/>
      <w:marBottom w:val="0"/>
      <w:divBdr>
        <w:top w:val="none" w:sz="0" w:space="0" w:color="auto"/>
        <w:left w:val="none" w:sz="0" w:space="0" w:color="auto"/>
        <w:bottom w:val="none" w:sz="0" w:space="0" w:color="auto"/>
        <w:right w:val="none" w:sz="0" w:space="0" w:color="auto"/>
      </w:divBdr>
    </w:div>
    <w:div w:id="409890843">
      <w:bodyDiv w:val="1"/>
      <w:marLeft w:val="0"/>
      <w:marRight w:val="0"/>
      <w:marTop w:val="0"/>
      <w:marBottom w:val="0"/>
      <w:divBdr>
        <w:top w:val="none" w:sz="0" w:space="0" w:color="auto"/>
        <w:left w:val="none" w:sz="0" w:space="0" w:color="auto"/>
        <w:bottom w:val="none" w:sz="0" w:space="0" w:color="auto"/>
        <w:right w:val="none" w:sz="0" w:space="0" w:color="auto"/>
      </w:divBdr>
    </w:div>
    <w:div w:id="453059227">
      <w:bodyDiv w:val="1"/>
      <w:marLeft w:val="0"/>
      <w:marRight w:val="0"/>
      <w:marTop w:val="0"/>
      <w:marBottom w:val="0"/>
      <w:divBdr>
        <w:top w:val="none" w:sz="0" w:space="0" w:color="auto"/>
        <w:left w:val="none" w:sz="0" w:space="0" w:color="auto"/>
        <w:bottom w:val="none" w:sz="0" w:space="0" w:color="auto"/>
        <w:right w:val="none" w:sz="0" w:space="0" w:color="auto"/>
      </w:divBdr>
    </w:div>
    <w:div w:id="465706437">
      <w:bodyDiv w:val="1"/>
      <w:marLeft w:val="0"/>
      <w:marRight w:val="0"/>
      <w:marTop w:val="0"/>
      <w:marBottom w:val="0"/>
      <w:divBdr>
        <w:top w:val="none" w:sz="0" w:space="0" w:color="auto"/>
        <w:left w:val="none" w:sz="0" w:space="0" w:color="auto"/>
        <w:bottom w:val="none" w:sz="0" w:space="0" w:color="auto"/>
        <w:right w:val="none" w:sz="0" w:space="0" w:color="auto"/>
      </w:divBdr>
    </w:div>
    <w:div w:id="465778050">
      <w:bodyDiv w:val="1"/>
      <w:marLeft w:val="0"/>
      <w:marRight w:val="0"/>
      <w:marTop w:val="0"/>
      <w:marBottom w:val="0"/>
      <w:divBdr>
        <w:top w:val="none" w:sz="0" w:space="0" w:color="auto"/>
        <w:left w:val="none" w:sz="0" w:space="0" w:color="auto"/>
        <w:bottom w:val="none" w:sz="0" w:space="0" w:color="auto"/>
        <w:right w:val="none" w:sz="0" w:space="0" w:color="auto"/>
      </w:divBdr>
    </w:div>
    <w:div w:id="473253014">
      <w:bodyDiv w:val="1"/>
      <w:marLeft w:val="0"/>
      <w:marRight w:val="0"/>
      <w:marTop w:val="0"/>
      <w:marBottom w:val="0"/>
      <w:divBdr>
        <w:top w:val="none" w:sz="0" w:space="0" w:color="auto"/>
        <w:left w:val="none" w:sz="0" w:space="0" w:color="auto"/>
        <w:bottom w:val="none" w:sz="0" w:space="0" w:color="auto"/>
        <w:right w:val="none" w:sz="0" w:space="0" w:color="auto"/>
      </w:divBdr>
    </w:div>
    <w:div w:id="520171682">
      <w:bodyDiv w:val="1"/>
      <w:marLeft w:val="0"/>
      <w:marRight w:val="0"/>
      <w:marTop w:val="0"/>
      <w:marBottom w:val="0"/>
      <w:divBdr>
        <w:top w:val="none" w:sz="0" w:space="0" w:color="auto"/>
        <w:left w:val="none" w:sz="0" w:space="0" w:color="auto"/>
        <w:bottom w:val="none" w:sz="0" w:space="0" w:color="auto"/>
        <w:right w:val="none" w:sz="0" w:space="0" w:color="auto"/>
      </w:divBdr>
    </w:div>
    <w:div w:id="556621947">
      <w:bodyDiv w:val="1"/>
      <w:marLeft w:val="0"/>
      <w:marRight w:val="0"/>
      <w:marTop w:val="0"/>
      <w:marBottom w:val="0"/>
      <w:divBdr>
        <w:top w:val="none" w:sz="0" w:space="0" w:color="auto"/>
        <w:left w:val="none" w:sz="0" w:space="0" w:color="auto"/>
        <w:bottom w:val="none" w:sz="0" w:space="0" w:color="auto"/>
        <w:right w:val="none" w:sz="0" w:space="0" w:color="auto"/>
      </w:divBdr>
    </w:div>
    <w:div w:id="577986375">
      <w:bodyDiv w:val="1"/>
      <w:marLeft w:val="0"/>
      <w:marRight w:val="0"/>
      <w:marTop w:val="0"/>
      <w:marBottom w:val="0"/>
      <w:divBdr>
        <w:top w:val="none" w:sz="0" w:space="0" w:color="auto"/>
        <w:left w:val="none" w:sz="0" w:space="0" w:color="auto"/>
        <w:bottom w:val="none" w:sz="0" w:space="0" w:color="auto"/>
        <w:right w:val="none" w:sz="0" w:space="0" w:color="auto"/>
      </w:divBdr>
    </w:div>
    <w:div w:id="601886155">
      <w:bodyDiv w:val="1"/>
      <w:marLeft w:val="0"/>
      <w:marRight w:val="0"/>
      <w:marTop w:val="0"/>
      <w:marBottom w:val="0"/>
      <w:divBdr>
        <w:top w:val="none" w:sz="0" w:space="0" w:color="auto"/>
        <w:left w:val="none" w:sz="0" w:space="0" w:color="auto"/>
        <w:bottom w:val="none" w:sz="0" w:space="0" w:color="auto"/>
        <w:right w:val="none" w:sz="0" w:space="0" w:color="auto"/>
      </w:divBdr>
    </w:div>
    <w:div w:id="616331192">
      <w:bodyDiv w:val="1"/>
      <w:marLeft w:val="0"/>
      <w:marRight w:val="0"/>
      <w:marTop w:val="0"/>
      <w:marBottom w:val="0"/>
      <w:divBdr>
        <w:top w:val="none" w:sz="0" w:space="0" w:color="auto"/>
        <w:left w:val="none" w:sz="0" w:space="0" w:color="auto"/>
        <w:bottom w:val="none" w:sz="0" w:space="0" w:color="auto"/>
        <w:right w:val="none" w:sz="0" w:space="0" w:color="auto"/>
      </w:divBdr>
    </w:div>
    <w:div w:id="672924565">
      <w:bodyDiv w:val="1"/>
      <w:marLeft w:val="0"/>
      <w:marRight w:val="0"/>
      <w:marTop w:val="0"/>
      <w:marBottom w:val="0"/>
      <w:divBdr>
        <w:top w:val="none" w:sz="0" w:space="0" w:color="auto"/>
        <w:left w:val="none" w:sz="0" w:space="0" w:color="auto"/>
        <w:bottom w:val="none" w:sz="0" w:space="0" w:color="auto"/>
        <w:right w:val="none" w:sz="0" w:space="0" w:color="auto"/>
      </w:divBdr>
    </w:div>
    <w:div w:id="693261886">
      <w:bodyDiv w:val="1"/>
      <w:marLeft w:val="0"/>
      <w:marRight w:val="0"/>
      <w:marTop w:val="0"/>
      <w:marBottom w:val="0"/>
      <w:divBdr>
        <w:top w:val="none" w:sz="0" w:space="0" w:color="auto"/>
        <w:left w:val="none" w:sz="0" w:space="0" w:color="auto"/>
        <w:bottom w:val="none" w:sz="0" w:space="0" w:color="auto"/>
        <w:right w:val="none" w:sz="0" w:space="0" w:color="auto"/>
      </w:divBdr>
    </w:div>
    <w:div w:id="697001733">
      <w:bodyDiv w:val="1"/>
      <w:marLeft w:val="0"/>
      <w:marRight w:val="0"/>
      <w:marTop w:val="0"/>
      <w:marBottom w:val="0"/>
      <w:divBdr>
        <w:top w:val="none" w:sz="0" w:space="0" w:color="auto"/>
        <w:left w:val="none" w:sz="0" w:space="0" w:color="auto"/>
        <w:bottom w:val="none" w:sz="0" w:space="0" w:color="auto"/>
        <w:right w:val="none" w:sz="0" w:space="0" w:color="auto"/>
      </w:divBdr>
    </w:div>
    <w:div w:id="729692610">
      <w:bodyDiv w:val="1"/>
      <w:marLeft w:val="0"/>
      <w:marRight w:val="0"/>
      <w:marTop w:val="0"/>
      <w:marBottom w:val="0"/>
      <w:divBdr>
        <w:top w:val="none" w:sz="0" w:space="0" w:color="auto"/>
        <w:left w:val="none" w:sz="0" w:space="0" w:color="auto"/>
        <w:bottom w:val="none" w:sz="0" w:space="0" w:color="auto"/>
        <w:right w:val="none" w:sz="0" w:space="0" w:color="auto"/>
      </w:divBdr>
    </w:div>
    <w:div w:id="735278466">
      <w:bodyDiv w:val="1"/>
      <w:marLeft w:val="0"/>
      <w:marRight w:val="0"/>
      <w:marTop w:val="0"/>
      <w:marBottom w:val="0"/>
      <w:divBdr>
        <w:top w:val="none" w:sz="0" w:space="0" w:color="auto"/>
        <w:left w:val="none" w:sz="0" w:space="0" w:color="auto"/>
        <w:bottom w:val="none" w:sz="0" w:space="0" w:color="auto"/>
        <w:right w:val="none" w:sz="0" w:space="0" w:color="auto"/>
      </w:divBdr>
    </w:div>
    <w:div w:id="762068381">
      <w:bodyDiv w:val="1"/>
      <w:marLeft w:val="0"/>
      <w:marRight w:val="0"/>
      <w:marTop w:val="0"/>
      <w:marBottom w:val="0"/>
      <w:divBdr>
        <w:top w:val="none" w:sz="0" w:space="0" w:color="auto"/>
        <w:left w:val="none" w:sz="0" w:space="0" w:color="auto"/>
        <w:bottom w:val="none" w:sz="0" w:space="0" w:color="auto"/>
        <w:right w:val="none" w:sz="0" w:space="0" w:color="auto"/>
      </w:divBdr>
    </w:div>
    <w:div w:id="777673988">
      <w:bodyDiv w:val="1"/>
      <w:marLeft w:val="0"/>
      <w:marRight w:val="0"/>
      <w:marTop w:val="0"/>
      <w:marBottom w:val="0"/>
      <w:divBdr>
        <w:top w:val="none" w:sz="0" w:space="0" w:color="auto"/>
        <w:left w:val="none" w:sz="0" w:space="0" w:color="auto"/>
        <w:bottom w:val="none" w:sz="0" w:space="0" w:color="auto"/>
        <w:right w:val="none" w:sz="0" w:space="0" w:color="auto"/>
      </w:divBdr>
    </w:div>
    <w:div w:id="777916350">
      <w:bodyDiv w:val="1"/>
      <w:marLeft w:val="0"/>
      <w:marRight w:val="0"/>
      <w:marTop w:val="0"/>
      <w:marBottom w:val="0"/>
      <w:divBdr>
        <w:top w:val="none" w:sz="0" w:space="0" w:color="auto"/>
        <w:left w:val="none" w:sz="0" w:space="0" w:color="auto"/>
        <w:bottom w:val="none" w:sz="0" w:space="0" w:color="auto"/>
        <w:right w:val="none" w:sz="0" w:space="0" w:color="auto"/>
      </w:divBdr>
    </w:div>
    <w:div w:id="783619409">
      <w:bodyDiv w:val="1"/>
      <w:marLeft w:val="0"/>
      <w:marRight w:val="0"/>
      <w:marTop w:val="0"/>
      <w:marBottom w:val="0"/>
      <w:divBdr>
        <w:top w:val="none" w:sz="0" w:space="0" w:color="auto"/>
        <w:left w:val="none" w:sz="0" w:space="0" w:color="auto"/>
        <w:bottom w:val="none" w:sz="0" w:space="0" w:color="auto"/>
        <w:right w:val="none" w:sz="0" w:space="0" w:color="auto"/>
      </w:divBdr>
    </w:div>
    <w:div w:id="838615765">
      <w:bodyDiv w:val="1"/>
      <w:marLeft w:val="0"/>
      <w:marRight w:val="0"/>
      <w:marTop w:val="0"/>
      <w:marBottom w:val="0"/>
      <w:divBdr>
        <w:top w:val="none" w:sz="0" w:space="0" w:color="auto"/>
        <w:left w:val="none" w:sz="0" w:space="0" w:color="auto"/>
        <w:bottom w:val="none" w:sz="0" w:space="0" w:color="auto"/>
        <w:right w:val="none" w:sz="0" w:space="0" w:color="auto"/>
      </w:divBdr>
    </w:div>
    <w:div w:id="853499955">
      <w:bodyDiv w:val="1"/>
      <w:marLeft w:val="0"/>
      <w:marRight w:val="0"/>
      <w:marTop w:val="0"/>
      <w:marBottom w:val="0"/>
      <w:divBdr>
        <w:top w:val="none" w:sz="0" w:space="0" w:color="auto"/>
        <w:left w:val="none" w:sz="0" w:space="0" w:color="auto"/>
        <w:bottom w:val="none" w:sz="0" w:space="0" w:color="auto"/>
        <w:right w:val="none" w:sz="0" w:space="0" w:color="auto"/>
      </w:divBdr>
    </w:div>
    <w:div w:id="854154525">
      <w:bodyDiv w:val="1"/>
      <w:marLeft w:val="0"/>
      <w:marRight w:val="0"/>
      <w:marTop w:val="0"/>
      <w:marBottom w:val="0"/>
      <w:divBdr>
        <w:top w:val="none" w:sz="0" w:space="0" w:color="auto"/>
        <w:left w:val="none" w:sz="0" w:space="0" w:color="auto"/>
        <w:bottom w:val="none" w:sz="0" w:space="0" w:color="auto"/>
        <w:right w:val="none" w:sz="0" w:space="0" w:color="auto"/>
      </w:divBdr>
    </w:div>
    <w:div w:id="868689812">
      <w:bodyDiv w:val="1"/>
      <w:marLeft w:val="0"/>
      <w:marRight w:val="0"/>
      <w:marTop w:val="0"/>
      <w:marBottom w:val="0"/>
      <w:divBdr>
        <w:top w:val="none" w:sz="0" w:space="0" w:color="auto"/>
        <w:left w:val="none" w:sz="0" w:space="0" w:color="auto"/>
        <w:bottom w:val="none" w:sz="0" w:space="0" w:color="auto"/>
        <w:right w:val="none" w:sz="0" w:space="0" w:color="auto"/>
      </w:divBdr>
    </w:div>
    <w:div w:id="871193113">
      <w:bodyDiv w:val="1"/>
      <w:marLeft w:val="0"/>
      <w:marRight w:val="0"/>
      <w:marTop w:val="0"/>
      <w:marBottom w:val="0"/>
      <w:divBdr>
        <w:top w:val="none" w:sz="0" w:space="0" w:color="auto"/>
        <w:left w:val="none" w:sz="0" w:space="0" w:color="auto"/>
        <w:bottom w:val="none" w:sz="0" w:space="0" w:color="auto"/>
        <w:right w:val="none" w:sz="0" w:space="0" w:color="auto"/>
      </w:divBdr>
    </w:div>
    <w:div w:id="885414986">
      <w:bodyDiv w:val="1"/>
      <w:marLeft w:val="0"/>
      <w:marRight w:val="0"/>
      <w:marTop w:val="0"/>
      <w:marBottom w:val="0"/>
      <w:divBdr>
        <w:top w:val="none" w:sz="0" w:space="0" w:color="auto"/>
        <w:left w:val="none" w:sz="0" w:space="0" w:color="auto"/>
        <w:bottom w:val="none" w:sz="0" w:space="0" w:color="auto"/>
        <w:right w:val="none" w:sz="0" w:space="0" w:color="auto"/>
      </w:divBdr>
    </w:div>
    <w:div w:id="891843525">
      <w:bodyDiv w:val="1"/>
      <w:marLeft w:val="0"/>
      <w:marRight w:val="0"/>
      <w:marTop w:val="0"/>
      <w:marBottom w:val="0"/>
      <w:divBdr>
        <w:top w:val="none" w:sz="0" w:space="0" w:color="auto"/>
        <w:left w:val="none" w:sz="0" w:space="0" w:color="auto"/>
        <w:bottom w:val="none" w:sz="0" w:space="0" w:color="auto"/>
        <w:right w:val="none" w:sz="0" w:space="0" w:color="auto"/>
      </w:divBdr>
    </w:div>
    <w:div w:id="911625405">
      <w:bodyDiv w:val="1"/>
      <w:marLeft w:val="0"/>
      <w:marRight w:val="0"/>
      <w:marTop w:val="0"/>
      <w:marBottom w:val="0"/>
      <w:divBdr>
        <w:top w:val="none" w:sz="0" w:space="0" w:color="auto"/>
        <w:left w:val="none" w:sz="0" w:space="0" w:color="auto"/>
        <w:bottom w:val="none" w:sz="0" w:space="0" w:color="auto"/>
        <w:right w:val="none" w:sz="0" w:space="0" w:color="auto"/>
      </w:divBdr>
    </w:div>
    <w:div w:id="932477318">
      <w:bodyDiv w:val="1"/>
      <w:marLeft w:val="0"/>
      <w:marRight w:val="0"/>
      <w:marTop w:val="0"/>
      <w:marBottom w:val="0"/>
      <w:divBdr>
        <w:top w:val="none" w:sz="0" w:space="0" w:color="auto"/>
        <w:left w:val="none" w:sz="0" w:space="0" w:color="auto"/>
        <w:bottom w:val="none" w:sz="0" w:space="0" w:color="auto"/>
        <w:right w:val="none" w:sz="0" w:space="0" w:color="auto"/>
      </w:divBdr>
    </w:div>
    <w:div w:id="977494764">
      <w:bodyDiv w:val="1"/>
      <w:marLeft w:val="0"/>
      <w:marRight w:val="0"/>
      <w:marTop w:val="0"/>
      <w:marBottom w:val="0"/>
      <w:divBdr>
        <w:top w:val="none" w:sz="0" w:space="0" w:color="auto"/>
        <w:left w:val="none" w:sz="0" w:space="0" w:color="auto"/>
        <w:bottom w:val="none" w:sz="0" w:space="0" w:color="auto"/>
        <w:right w:val="none" w:sz="0" w:space="0" w:color="auto"/>
      </w:divBdr>
    </w:div>
    <w:div w:id="1001734276">
      <w:bodyDiv w:val="1"/>
      <w:marLeft w:val="0"/>
      <w:marRight w:val="0"/>
      <w:marTop w:val="0"/>
      <w:marBottom w:val="0"/>
      <w:divBdr>
        <w:top w:val="none" w:sz="0" w:space="0" w:color="auto"/>
        <w:left w:val="none" w:sz="0" w:space="0" w:color="auto"/>
        <w:bottom w:val="none" w:sz="0" w:space="0" w:color="auto"/>
        <w:right w:val="none" w:sz="0" w:space="0" w:color="auto"/>
      </w:divBdr>
    </w:div>
    <w:div w:id="1001809718">
      <w:bodyDiv w:val="1"/>
      <w:marLeft w:val="0"/>
      <w:marRight w:val="0"/>
      <w:marTop w:val="0"/>
      <w:marBottom w:val="0"/>
      <w:divBdr>
        <w:top w:val="none" w:sz="0" w:space="0" w:color="auto"/>
        <w:left w:val="none" w:sz="0" w:space="0" w:color="auto"/>
        <w:bottom w:val="none" w:sz="0" w:space="0" w:color="auto"/>
        <w:right w:val="none" w:sz="0" w:space="0" w:color="auto"/>
      </w:divBdr>
    </w:div>
    <w:div w:id="1093822818">
      <w:bodyDiv w:val="1"/>
      <w:marLeft w:val="0"/>
      <w:marRight w:val="0"/>
      <w:marTop w:val="0"/>
      <w:marBottom w:val="0"/>
      <w:divBdr>
        <w:top w:val="none" w:sz="0" w:space="0" w:color="auto"/>
        <w:left w:val="none" w:sz="0" w:space="0" w:color="auto"/>
        <w:bottom w:val="none" w:sz="0" w:space="0" w:color="auto"/>
        <w:right w:val="none" w:sz="0" w:space="0" w:color="auto"/>
      </w:divBdr>
    </w:div>
    <w:div w:id="1174227914">
      <w:bodyDiv w:val="1"/>
      <w:marLeft w:val="0"/>
      <w:marRight w:val="0"/>
      <w:marTop w:val="0"/>
      <w:marBottom w:val="0"/>
      <w:divBdr>
        <w:top w:val="none" w:sz="0" w:space="0" w:color="auto"/>
        <w:left w:val="none" w:sz="0" w:space="0" w:color="auto"/>
        <w:bottom w:val="none" w:sz="0" w:space="0" w:color="auto"/>
        <w:right w:val="none" w:sz="0" w:space="0" w:color="auto"/>
      </w:divBdr>
    </w:div>
    <w:div w:id="1185678815">
      <w:bodyDiv w:val="1"/>
      <w:marLeft w:val="0"/>
      <w:marRight w:val="0"/>
      <w:marTop w:val="0"/>
      <w:marBottom w:val="0"/>
      <w:divBdr>
        <w:top w:val="none" w:sz="0" w:space="0" w:color="auto"/>
        <w:left w:val="none" w:sz="0" w:space="0" w:color="auto"/>
        <w:bottom w:val="none" w:sz="0" w:space="0" w:color="auto"/>
        <w:right w:val="none" w:sz="0" w:space="0" w:color="auto"/>
      </w:divBdr>
    </w:div>
    <w:div w:id="1186286274">
      <w:bodyDiv w:val="1"/>
      <w:marLeft w:val="0"/>
      <w:marRight w:val="0"/>
      <w:marTop w:val="0"/>
      <w:marBottom w:val="0"/>
      <w:divBdr>
        <w:top w:val="none" w:sz="0" w:space="0" w:color="auto"/>
        <w:left w:val="none" w:sz="0" w:space="0" w:color="auto"/>
        <w:bottom w:val="none" w:sz="0" w:space="0" w:color="auto"/>
        <w:right w:val="none" w:sz="0" w:space="0" w:color="auto"/>
      </w:divBdr>
    </w:div>
    <w:div w:id="1237469380">
      <w:bodyDiv w:val="1"/>
      <w:marLeft w:val="0"/>
      <w:marRight w:val="0"/>
      <w:marTop w:val="0"/>
      <w:marBottom w:val="0"/>
      <w:divBdr>
        <w:top w:val="none" w:sz="0" w:space="0" w:color="auto"/>
        <w:left w:val="none" w:sz="0" w:space="0" w:color="auto"/>
        <w:bottom w:val="none" w:sz="0" w:space="0" w:color="auto"/>
        <w:right w:val="none" w:sz="0" w:space="0" w:color="auto"/>
      </w:divBdr>
    </w:div>
    <w:div w:id="1277250203">
      <w:bodyDiv w:val="1"/>
      <w:marLeft w:val="0"/>
      <w:marRight w:val="0"/>
      <w:marTop w:val="0"/>
      <w:marBottom w:val="0"/>
      <w:divBdr>
        <w:top w:val="none" w:sz="0" w:space="0" w:color="auto"/>
        <w:left w:val="none" w:sz="0" w:space="0" w:color="auto"/>
        <w:bottom w:val="none" w:sz="0" w:space="0" w:color="auto"/>
        <w:right w:val="none" w:sz="0" w:space="0" w:color="auto"/>
      </w:divBdr>
    </w:div>
    <w:div w:id="1296715713">
      <w:bodyDiv w:val="1"/>
      <w:marLeft w:val="0"/>
      <w:marRight w:val="0"/>
      <w:marTop w:val="0"/>
      <w:marBottom w:val="0"/>
      <w:divBdr>
        <w:top w:val="none" w:sz="0" w:space="0" w:color="auto"/>
        <w:left w:val="none" w:sz="0" w:space="0" w:color="auto"/>
        <w:bottom w:val="none" w:sz="0" w:space="0" w:color="auto"/>
        <w:right w:val="none" w:sz="0" w:space="0" w:color="auto"/>
      </w:divBdr>
    </w:div>
    <w:div w:id="1365860512">
      <w:bodyDiv w:val="1"/>
      <w:marLeft w:val="0"/>
      <w:marRight w:val="0"/>
      <w:marTop w:val="0"/>
      <w:marBottom w:val="0"/>
      <w:divBdr>
        <w:top w:val="none" w:sz="0" w:space="0" w:color="auto"/>
        <w:left w:val="none" w:sz="0" w:space="0" w:color="auto"/>
        <w:bottom w:val="none" w:sz="0" w:space="0" w:color="auto"/>
        <w:right w:val="none" w:sz="0" w:space="0" w:color="auto"/>
      </w:divBdr>
    </w:div>
    <w:div w:id="1395546429">
      <w:bodyDiv w:val="1"/>
      <w:marLeft w:val="0"/>
      <w:marRight w:val="0"/>
      <w:marTop w:val="0"/>
      <w:marBottom w:val="0"/>
      <w:divBdr>
        <w:top w:val="none" w:sz="0" w:space="0" w:color="auto"/>
        <w:left w:val="none" w:sz="0" w:space="0" w:color="auto"/>
        <w:bottom w:val="none" w:sz="0" w:space="0" w:color="auto"/>
        <w:right w:val="none" w:sz="0" w:space="0" w:color="auto"/>
      </w:divBdr>
    </w:div>
    <w:div w:id="1436635318">
      <w:bodyDiv w:val="1"/>
      <w:marLeft w:val="0"/>
      <w:marRight w:val="0"/>
      <w:marTop w:val="0"/>
      <w:marBottom w:val="0"/>
      <w:divBdr>
        <w:top w:val="none" w:sz="0" w:space="0" w:color="auto"/>
        <w:left w:val="none" w:sz="0" w:space="0" w:color="auto"/>
        <w:bottom w:val="none" w:sz="0" w:space="0" w:color="auto"/>
        <w:right w:val="none" w:sz="0" w:space="0" w:color="auto"/>
      </w:divBdr>
    </w:div>
    <w:div w:id="1493376058">
      <w:bodyDiv w:val="1"/>
      <w:marLeft w:val="0"/>
      <w:marRight w:val="0"/>
      <w:marTop w:val="0"/>
      <w:marBottom w:val="0"/>
      <w:divBdr>
        <w:top w:val="none" w:sz="0" w:space="0" w:color="auto"/>
        <w:left w:val="none" w:sz="0" w:space="0" w:color="auto"/>
        <w:bottom w:val="none" w:sz="0" w:space="0" w:color="auto"/>
        <w:right w:val="none" w:sz="0" w:space="0" w:color="auto"/>
      </w:divBdr>
    </w:div>
    <w:div w:id="1543638345">
      <w:bodyDiv w:val="1"/>
      <w:marLeft w:val="0"/>
      <w:marRight w:val="0"/>
      <w:marTop w:val="0"/>
      <w:marBottom w:val="0"/>
      <w:divBdr>
        <w:top w:val="none" w:sz="0" w:space="0" w:color="auto"/>
        <w:left w:val="none" w:sz="0" w:space="0" w:color="auto"/>
        <w:bottom w:val="none" w:sz="0" w:space="0" w:color="auto"/>
        <w:right w:val="none" w:sz="0" w:space="0" w:color="auto"/>
      </w:divBdr>
    </w:div>
    <w:div w:id="1560632757">
      <w:bodyDiv w:val="1"/>
      <w:marLeft w:val="0"/>
      <w:marRight w:val="0"/>
      <w:marTop w:val="0"/>
      <w:marBottom w:val="0"/>
      <w:divBdr>
        <w:top w:val="none" w:sz="0" w:space="0" w:color="auto"/>
        <w:left w:val="none" w:sz="0" w:space="0" w:color="auto"/>
        <w:bottom w:val="none" w:sz="0" w:space="0" w:color="auto"/>
        <w:right w:val="none" w:sz="0" w:space="0" w:color="auto"/>
      </w:divBdr>
    </w:div>
    <w:div w:id="1578251526">
      <w:bodyDiv w:val="1"/>
      <w:marLeft w:val="0"/>
      <w:marRight w:val="0"/>
      <w:marTop w:val="0"/>
      <w:marBottom w:val="0"/>
      <w:divBdr>
        <w:top w:val="none" w:sz="0" w:space="0" w:color="auto"/>
        <w:left w:val="none" w:sz="0" w:space="0" w:color="auto"/>
        <w:bottom w:val="none" w:sz="0" w:space="0" w:color="auto"/>
        <w:right w:val="none" w:sz="0" w:space="0" w:color="auto"/>
      </w:divBdr>
    </w:div>
    <w:div w:id="1623268272">
      <w:bodyDiv w:val="1"/>
      <w:marLeft w:val="0"/>
      <w:marRight w:val="0"/>
      <w:marTop w:val="0"/>
      <w:marBottom w:val="0"/>
      <w:divBdr>
        <w:top w:val="none" w:sz="0" w:space="0" w:color="auto"/>
        <w:left w:val="none" w:sz="0" w:space="0" w:color="auto"/>
        <w:bottom w:val="none" w:sz="0" w:space="0" w:color="auto"/>
        <w:right w:val="none" w:sz="0" w:space="0" w:color="auto"/>
      </w:divBdr>
    </w:div>
    <w:div w:id="1635793397">
      <w:bodyDiv w:val="1"/>
      <w:marLeft w:val="0"/>
      <w:marRight w:val="0"/>
      <w:marTop w:val="0"/>
      <w:marBottom w:val="0"/>
      <w:divBdr>
        <w:top w:val="none" w:sz="0" w:space="0" w:color="auto"/>
        <w:left w:val="none" w:sz="0" w:space="0" w:color="auto"/>
        <w:bottom w:val="none" w:sz="0" w:space="0" w:color="auto"/>
        <w:right w:val="none" w:sz="0" w:space="0" w:color="auto"/>
      </w:divBdr>
    </w:div>
    <w:div w:id="1673332241">
      <w:bodyDiv w:val="1"/>
      <w:marLeft w:val="0"/>
      <w:marRight w:val="0"/>
      <w:marTop w:val="0"/>
      <w:marBottom w:val="0"/>
      <w:divBdr>
        <w:top w:val="none" w:sz="0" w:space="0" w:color="auto"/>
        <w:left w:val="none" w:sz="0" w:space="0" w:color="auto"/>
        <w:bottom w:val="none" w:sz="0" w:space="0" w:color="auto"/>
        <w:right w:val="none" w:sz="0" w:space="0" w:color="auto"/>
      </w:divBdr>
    </w:div>
    <w:div w:id="1786853416">
      <w:bodyDiv w:val="1"/>
      <w:marLeft w:val="0"/>
      <w:marRight w:val="0"/>
      <w:marTop w:val="0"/>
      <w:marBottom w:val="0"/>
      <w:divBdr>
        <w:top w:val="none" w:sz="0" w:space="0" w:color="auto"/>
        <w:left w:val="none" w:sz="0" w:space="0" w:color="auto"/>
        <w:bottom w:val="none" w:sz="0" w:space="0" w:color="auto"/>
        <w:right w:val="none" w:sz="0" w:space="0" w:color="auto"/>
      </w:divBdr>
    </w:div>
    <w:div w:id="1834370863">
      <w:bodyDiv w:val="1"/>
      <w:marLeft w:val="0"/>
      <w:marRight w:val="0"/>
      <w:marTop w:val="0"/>
      <w:marBottom w:val="0"/>
      <w:divBdr>
        <w:top w:val="none" w:sz="0" w:space="0" w:color="auto"/>
        <w:left w:val="none" w:sz="0" w:space="0" w:color="auto"/>
        <w:bottom w:val="none" w:sz="0" w:space="0" w:color="auto"/>
        <w:right w:val="none" w:sz="0" w:space="0" w:color="auto"/>
      </w:divBdr>
    </w:div>
    <w:div w:id="1902598336">
      <w:bodyDiv w:val="1"/>
      <w:marLeft w:val="0"/>
      <w:marRight w:val="0"/>
      <w:marTop w:val="0"/>
      <w:marBottom w:val="0"/>
      <w:divBdr>
        <w:top w:val="none" w:sz="0" w:space="0" w:color="auto"/>
        <w:left w:val="none" w:sz="0" w:space="0" w:color="auto"/>
        <w:bottom w:val="none" w:sz="0" w:space="0" w:color="auto"/>
        <w:right w:val="none" w:sz="0" w:space="0" w:color="auto"/>
      </w:divBdr>
    </w:div>
    <w:div w:id="2012639210">
      <w:bodyDiv w:val="1"/>
      <w:marLeft w:val="0"/>
      <w:marRight w:val="0"/>
      <w:marTop w:val="0"/>
      <w:marBottom w:val="0"/>
      <w:divBdr>
        <w:top w:val="none" w:sz="0" w:space="0" w:color="auto"/>
        <w:left w:val="none" w:sz="0" w:space="0" w:color="auto"/>
        <w:bottom w:val="none" w:sz="0" w:space="0" w:color="auto"/>
        <w:right w:val="none" w:sz="0" w:space="0" w:color="auto"/>
      </w:divBdr>
    </w:div>
    <w:div w:id="2052998123">
      <w:bodyDiv w:val="1"/>
      <w:marLeft w:val="0"/>
      <w:marRight w:val="0"/>
      <w:marTop w:val="0"/>
      <w:marBottom w:val="0"/>
      <w:divBdr>
        <w:top w:val="none" w:sz="0" w:space="0" w:color="auto"/>
        <w:left w:val="none" w:sz="0" w:space="0" w:color="auto"/>
        <w:bottom w:val="none" w:sz="0" w:space="0" w:color="auto"/>
        <w:right w:val="none" w:sz="0" w:space="0" w:color="auto"/>
      </w:divBdr>
    </w:div>
    <w:div w:id="209932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andersen.com/fr/professionals/danny-gueri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748A-9E1A-4521-9035-83DF0E1FD2B5}">
  <ds:schemaRefs>
    <ds:schemaRef ds:uri="http://schemas.openxmlformats.org/officeDocument/2006/bibliography"/>
  </ds:schemaRefs>
</ds:datastoreItem>
</file>

<file path=docMetadata/LabelInfo.xml><?xml version="1.0" encoding="utf-8"?>
<clbl:labelList xmlns:clbl="http://schemas.microsoft.com/office/2020/mipLabelMetadata">
  <clbl:label id="{fec9b87c-6e36-44c5-97c3-598b58e102bf}" enabled="0" method="" siteId="{fec9b87c-6e36-44c5-97c3-598b58e102bf}" removed="1"/>
</clbl:labelList>
</file>

<file path=docProps/app.xml><?xml version="1.0" encoding="utf-8"?>
<Properties xmlns="http://schemas.openxmlformats.org/officeDocument/2006/extended-properties" xmlns:vt="http://schemas.openxmlformats.org/officeDocument/2006/docPropsVTypes">
  <Template>Normal</Template>
  <TotalTime>87</TotalTime>
  <Pages>14</Pages>
  <Words>4592</Words>
  <Characters>25757</Characters>
  <Application>Microsoft Office Word</Application>
  <DocSecurity>4</DocSecurity>
  <Lines>425</Lines>
  <Paragraphs>222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Lambert</dc:creator>
  <cp:keywords/>
  <dc:description/>
  <cp:lastModifiedBy>Laure Adragna</cp:lastModifiedBy>
  <cp:revision>2</cp:revision>
  <cp:lastPrinted>2025-11-07T23:30:00Z</cp:lastPrinted>
  <dcterms:created xsi:type="dcterms:W3CDTF">2025-11-08T21:35:00Z</dcterms:created>
  <dcterms:modified xsi:type="dcterms:W3CDTF">2025-11-08T21:35:00Z</dcterms:modified>
</cp:coreProperties>
</file>